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40" w:leader="none"/>
          <w:tab w:val="left" w:pos="4320" w:leader="none"/>
          <w:tab w:val="left" w:pos="5040" w:leader="none"/>
        </w:tabs>
        <w:jc w:val="center"/>
        <w:rPr>
          <w:rFonts w:ascii="Times New Roman" w:hAnsi="Times New Roman" w:cs="Times New Roman"/>
          <w:sz w:val="24"/>
        </w:rPr>
      </w:pPr>
      <w:r>
        <w:rPr>
          <w:rFonts w:cs="Times New Roman" w:ascii="Times New Roman" w:hAnsi="Times New Roman"/>
          <w:sz w:val="24"/>
        </w:rPr>
        <w:t>IN THE</w:t>
      </w:r>
    </w:p>
    <w:p>
      <w:pPr>
        <w:pStyle w:val="Normal"/>
        <w:tabs>
          <w:tab w:val="clear" w:pos="720"/>
          <w:tab w:val="left" w:pos="1440" w:leader="none"/>
          <w:tab w:val="left" w:pos="4320" w:leader="none"/>
          <w:tab w:val="left" w:pos="5040" w:leader="none"/>
        </w:tabs>
        <w:jc w:val="center"/>
        <w:rPr>
          <w:rFonts w:ascii="Times New Roman" w:hAnsi="Times New Roman" w:cs="Times New Roman"/>
          <w:sz w:val="24"/>
        </w:rPr>
      </w:pPr>
      <w:r>
        <w:rPr>
          <w:rFonts w:cs="Times New Roman" w:ascii="Times New Roman" w:hAnsi="Times New Roman"/>
          <w:sz w:val="24"/>
        </w:rPr>
        <w:t>UNITED STATES OF AMERICA</w:t>
      </w:r>
    </w:p>
    <w:p>
      <w:pPr>
        <w:pStyle w:val="Normal"/>
        <w:tabs>
          <w:tab w:val="clear" w:pos="720"/>
          <w:tab w:val="left" w:pos="1440" w:leader="none"/>
          <w:tab w:val="left" w:pos="4320" w:leader="none"/>
          <w:tab w:val="left" w:pos="5040" w:leader="none"/>
        </w:tabs>
        <w:jc w:val="center"/>
        <w:rPr>
          <w:rFonts w:ascii="Times New Roman" w:hAnsi="Times New Roman" w:cs="Times New Roman"/>
          <w:sz w:val="24"/>
        </w:rPr>
      </w:pPr>
      <w:r>
        <w:rPr>
          <w:rFonts w:cs="Times New Roman" w:ascii="Times New Roman" w:hAnsi="Times New Roman"/>
          <w:sz w:val="24"/>
        </w:rPr>
        <w:t>FEDERAL ENERGY REGULATORY COMMISSION</w:t>
      </w:r>
    </w:p>
    <w:p>
      <w:pPr>
        <w:pStyle w:val="Normal"/>
        <w:tabs>
          <w:tab w:val="clear" w:pos="720"/>
          <w:tab w:val="left" w:pos="1440" w:leader="none"/>
          <w:tab w:val="left" w:pos="4320" w:leader="none"/>
          <w:tab w:val="left" w:pos="5040" w:leader="none"/>
        </w:tabs>
        <w:jc w:val="center"/>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4680" w:leader="none"/>
          <w:tab w:val="right" w:pos="9360" w:leader="none"/>
        </w:tabs>
        <w:jc w:val="both"/>
        <w:rPr>
          <w:rFonts w:ascii="Times New Roman" w:hAnsi="Times New Roman" w:cs="Times New Roman"/>
          <w:sz w:val="24"/>
        </w:rPr>
      </w:pPr>
      <w:r>
        <w:rPr>
          <w:rFonts w:cs="Times New Roman" w:ascii="Times New Roman" w:hAnsi="Times New Roman"/>
          <w:sz w:val="24"/>
        </w:rPr>
        <w:t>Kern River Gas Transmission Company</w:t>
        <w:tab/>
        <w:t>§</w:t>
        <w:tab/>
        <w:t>Docket No. CP01-106-000</w:t>
      </w:r>
    </w:p>
    <w:p>
      <w:pPr>
        <w:pStyle w:val="Normal"/>
        <w:tabs>
          <w:tab w:val="clear" w:pos="720"/>
          <w:tab w:val="left" w:pos="1440" w:leader="none"/>
          <w:tab w:val="left" w:pos="4680" w:leader="none"/>
        </w:tabs>
        <w:jc w:val="both"/>
        <w:rPr>
          <w:rFonts w:ascii="Times New Roman" w:hAnsi="Times New Roman" w:cs="Times New Roman"/>
          <w:sz w:val="24"/>
        </w:rPr>
      </w:pPr>
      <w:r>
        <w:rPr>
          <w:rFonts w:cs="Times New Roman" w:ascii="Times New Roman" w:hAnsi="Times New Roman"/>
          <w:sz w:val="24"/>
        </w:rPr>
        <w:tab/>
        <w:tab/>
        <w:t>§</w:t>
      </w:r>
    </w:p>
    <w:p>
      <w:pPr>
        <w:pStyle w:val="Normal"/>
        <w:tabs>
          <w:tab w:val="clear" w:pos="720"/>
          <w:tab w:val="left" w:pos="1440" w:leader="none"/>
          <w:tab w:val="left" w:pos="4680" w:leader="none"/>
        </w:tabs>
        <w:jc w:val="both"/>
        <w:rPr>
          <w:rFonts w:ascii="Times New Roman" w:hAnsi="Times New Roman" w:cs="Times New Roman"/>
          <w:sz w:val="24"/>
        </w:rPr>
      </w:pPr>
      <w:r>
        <w:rPr>
          <w:rFonts w:cs="Times New Roman" w:ascii="Times New Roman" w:hAnsi="Times New Roman"/>
          <w:sz w:val="24"/>
        </w:rPr>
        <w:tab/>
        <w:tab/>
        <w:t>§</w:t>
      </w:r>
    </w:p>
    <w:p>
      <w:pPr>
        <w:pStyle w:val="Normal"/>
        <w:tabs>
          <w:tab w:val="clear" w:pos="720"/>
          <w:tab w:val="left" w:pos="1440" w:leader="none"/>
          <w:tab w:val="left" w:pos="4320" w:leader="none"/>
          <w:tab w:val="left" w:pos="5040" w:leader="none"/>
        </w:tabs>
        <w:jc w:val="center"/>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4320" w:leader="none"/>
          <w:tab w:val="left" w:pos="5040" w:leader="none"/>
        </w:tabs>
        <w:jc w:val="center"/>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4320" w:leader="none"/>
          <w:tab w:val="left" w:pos="5040" w:leader="none"/>
        </w:tabs>
        <w:jc w:val="center"/>
        <w:rPr>
          <w:rFonts w:ascii="Times New Roman" w:hAnsi="Times New Roman" w:cs="Times New Roman"/>
          <w:b/>
          <w:sz w:val="24"/>
        </w:rPr>
      </w:pPr>
      <w:r>
        <w:rPr>
          <w:rFonts w:cs="Times New Roman" w:ascii="Times New Roman" w:hAnsi="Times New Roman"/>
          <w:b/>
          <w:sz w:val="24"/>
        </w:rPr>
        <w:t>MOTION OF ENRON NORTH AMERICA CORP.</w:t>
      </w:r>
    </w:p>
    <w:p>
      <w:pPr>
        <w:pStyle w:val="Normal"/>
        <w:tabs>
          <w:tab w:val="clear" w:pos="720"/>
          <w:tab w:val="left" w:pos="1440" w:leader="none"/>
          <w:tab w:val="left" w:pos="4320" w:leader="none"/>
          <w:tab w:val="left" w:pos="5040" w:leader="none"/>
        </w:tabs>
        <w:jc w:val="center"/>
        <w:rPr>
          <w:rFonts w:ascii="Times New Roman" w:hAnsi="Times New Roman" w:cs="Times New Roman"/>
          <w:b/>
          <w:sz w:val="24"/>
        </w:rPr>
      </w:pPr>
      <w:r>
        <w:rPr>
          <w:rFonts w:cs="Times New Roman" w:ascii="Times New Roman" w:hAnsi="Times New Roman"/>
          <w:b/>
          <w:sz w:val="24"/>
        </w:rPr>
        <w:t xml:space="preserve"> </w:t>
      </w:r>
      <w:r>
        <w:rPr>
          <w:rFonts w:cs="Times New Roman" w:ascii="Times New Roman" w:hAnsi="Times New Roman"/>
          <w:b/>
          <w:sz w:val="24"/>
        </w:rPr>
        <w:t>FOR LEAVE TO INTERVENE IN SUPPORT OF APPLICATION</w:t>
      </w:r>
    </w:p>
    <w:p>
      <w:pPr>
        <w:pStyle w:val="Normal"/>
        <w:tabs>
          <w:tab w:val="clear" w:pos="720"/>
          <w:tab w:val="left" w:pos="1440" w:leader="none"/>
          <w:tab w:val="left" w:pos="4320" w:leader="none"/>
          <w:tab w:val="left" w:pos="5040" w:leader="none"/>
        </w:tabs>
        <w:spacing w:lineRule="auto" w:line="480"/>
        <w:jc w:val="both"/>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0" w:leader="none"/>
          <w:tab w:val="left" w:pos="4320" w:leader="none"/>
          <w:tab w:val="left" w:pos="5040" w:leader="none"/>
        </w:tabs>
        <w:spacing w:lineRule="auto" w:line="480"/>
        <w:jc w:val="both"/>
        <w:rPr>
          <w:rFonts w:ascii="Times New Roman" w:hAnsi="Times New Roman" w:cs="Times New Roman"/>
          <w:sz w:val="24"/>
        </w:rPr>
      </w:pPr>
      <w:r>
        <w:rPr>
          <w:rFonts w:cs="Times New Roman" w:ascii="Times New Roman" w:hAnsi="Times New Roman"/>
          <w:sz w:val="24"/>
        </w:rPr>
        <w:tab/>
        <w:t>Pursuant to Rule 214 of the Federal Energy Regulatory Commission's (“Commission”) Rules of Practice and Procedure, 18 C.F.R. §385.214, Enron North America Corp. ("ENA") hereby respectfully moves for leave to intervene in support of the application in the above-captioned proceeding.</w:t>
      </w:r>
    </w:p>
    <w:p>
      <w:pPr>
        <w:pStyle w:val="Normal"/>
        <w:tabs>
          <w:tab w:val="clear" w:pos="720"/>
          <w:tab w:val="left" w:pos="1440" w:leader="none"/>
          <w:tab w:val="left" w:pos="4320" w:leader="none"/>
          <w:tab w:val="left" w:pos="5040" w:leader="none"/>
        </w:tabs>
        <w:spacing w:lineRule="auto" w:line="480"/>
        <w:jc w:val="both"/>
        <w:rPr>
          <w:rFonts w:ascii="Times New Roman" w:hAnsi="Times New Roman" w:cs="Times New Roman"/>
          <w:sz w:val="24"/>
        </w:rPr>
      </w:pPr>
      <w:r>
        <w:rPr>
          <w:rFonts w:cs="Times New Roman" w:ascii="Times New Roman" w:hAnsi="Times New Roman"/>
          <w:sz w:val="24"/>
        </w:rPr>
        <w:tab/>
        <w:t>In support hereof, ENA states as follows:</w:t>
      </w:r>
    </w:p>
    <w:p>
      <w:pPr>
        <w:pStyle w:val="Normal"/>
        <w:tabs>
          <w:tab w:val="clear" w:pos="720"/>
          <w:tab w:val="left" w:pos="1440" w:leader="none"/>
          <w:tab w:val="left" w:pos="4320" w:leader="none"/>
          <w:tab w:val="left" w:pos="5040" w:leader="none"/>
        </w:tabs>
        <w:spacing w:lineRule="auto" w:line="480" w:before="120" w:after="0"/>
        <w:jc w:val="center"/>
        <w:rPr>
          <w:rFonts w:ascii="Times New Roman" w:hAnsi="Times New Roman" w:cs="Times New Roman"/>
          <w:b/>
          <w:sz w:val="24"/>
        </w:rPr>
      </w:pPr>
      <w:r>
        <w:rPr>
          <w:rFonts w:cs="Times New Roman" w:ascii="Times New Roman" w:hAnsi="Times New Roman"/>
          <w:b/>
          <w:sz w:val="24"/>
        </w:rPr>
        <w:t>I.</w:t>
      </w:r>
    </w:p>
    <w:p>
      <w:pPr>
        <w:pStyle w:val="Normal"/>
        <w:tabs>
          <w:tab w:val="clear" w:pos="720"/>
          <w:tab w:val="left" w:pos="1440" w:leader="none"/>
          <w:tab w:val="left" w:pos="4320" w:leader="none"/>
          <w:tab w:val="left" w:pos="5040" w:leader="none"/>
        </w:tabs>
        <w:spacing w:lineRule="auto" w:line="480"/>
        <w:jc w:val="both"/>
        <w:rPr>
          <w:rFonts w:ascii="Times New Roman" w:hAnsi="Times New Roman" w:cs="Times New Roman"/>
          <w:sz w:val="24"/>
        </w:rPr>
      </w:pPr>
      <w:r>
        <w:rPr>
          <w:rFonts w:cs="Times New Roman" w:ascii="Times New Roman" w:hAnsi="Times New Roman"/>
          <w:sz w:val="24"/>
        </w:rPr>
        <w:tab/>
        <w:t>The names, titles, and mailing addresses of the persons to whom correspondence and communications concerning this proceeding are to be sent are as follows:</w:t>
      </w:r>
    </w:p>
    <w:p>
      <w:pPr>
        <w:pStyle w:val="Normal"/>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Leslie J. Lawner</w:t>
        <w:tab/>
        <w:tab/>
        <w:tab/>
        <w:t>*Rebecca Cantrell</w:t>
      </w:r>
    </w:p>
    <w:p>
      <w:pPr>
        <w:pStyle w:val="Normal"/>
        <w:tabs>
          <w:tab w:val="left" w:pos="72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Attorney for</w:t>
        <w:tab/>
        <w:tab/>
        <w:tab/>
        <w:t>Director, Federal Regulatory Affairs</w:t>
      </w:r>
    </w:p>
    <w:p>
      <w:pPr>
        <w:pStyle w:val="Normal"/>
        <w:tabs>
          <w:tab w:val="left" w:pos="72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Enron North America Corp.</w:t>
        <w:tab/>
        <w:tab/>
        <w:tab/>
        <w:t>Enron North America Corp.</w:t>
      </w:r>
    </w:p>
    <w:p>
      <w:pPr>
        <w:pStyle w:val="Normal"/>
        <w:tabs>
          <w:tab w:val="left" w:pos="72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712 N. Lea</w:t>
        <w:tab/>
        <w:tab/>
        <w:tab/>
        <w:t>P. O. Box 1188</w:t>
      </w:r>
    </w:p>
    <w:p>
      <w:pPr>
        <w:pStyle w:val="Normal"/>
        <w:tabs>
          <w:tab w:val="left" w:pos="72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Roswell, New Mexico  88201</w:t>
        <w:tab/>
        <w:tab/>
        <w:tab/>
        <w:t>Houston, Texas  77251-1188</w:t>
      </w:r>
    </w:p>
    <w:p>
      <w:pPr>
        <w:pStyle w:val="Normal"/>
        <w:tabs>
          <w:tab w:val="left" w:pos="72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(505) 623-6778</w:t>
        <w:tab/>
        <w:tab/>
        <w:tab/>
        <w:t>(713) 853-5840</w:t>
      </w:r>
    </w:p>
    <w:p>
      <w:pPr>
        <w:pStyle w:val="Normal"/>
        <w:tabs>
          <w:tab w:val="left" w:pos="72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FAX (505) 625-2820</w:t>
        <w:tab/>
        <w:tab/>
        <w:tab/>
        <w:t>FAX (713) 646-5785</w:t>
      </w:r>
    </w:p>
    <w:p>
      <w:pPr>
        <w:pStyle w:val="Normal"/>
        <w:tabs>
          <w:tab w:val="left" w:pos="72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r>
      <w:hyperlink r:id="rId2">
        <w:r>
          <w:rPr>
            <w:rStyle w:val="Hyperlink"/>
            <w:rFonts w:cs="Times New Roman" w:ascii="Times New Roman" w:hAnsi="Times New Roman"/>
          </w:rPr>
          <w:t>Rebecca.W.Cantrell@enron.com</w:t>
        </w:r>
      </w:hyperlink>
    </w:p>
    <w:p>
      <w:pPr>
        <w:pStyle w:val="Normal"/>
        <w:tabs>
          <w:tab w:val="left" w:pos="72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*Designated for service in accordance with Rule 203, 18 C.F.R. §385.203, of the Commission’s Rules of Practice and Procedure.</w:t>
      </w:r>
    </w:p>
    <w:p>
      <w:pPr>
        <w:pStyle w:val="Normal"/>
        <w:tabs>
          <w:tab w:val="left" w:pos="72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spacing w:lineRule="auto" w:line="480" w:before="120" w:after="0"/>
        <w:jc w:val="center"/>
        <w:rPr>
          <w:rFonts w:ascii="Times New Roman" w:hAnsi="Times New Roman" w:cs="Times New Roman"/>
          <w:b/>
          <w:sz w:val="24"/>
        </w:rPr>
      </w:pPr>
      <w:r>
        <w:rPr>
          <w:rFonts w:cs="Times New Roman" w:ascii="Times New Roman" w:hAnsi="Times New Roman"/>
          <w:b/>
          <w:sz w:val="24"/>
        </w:rPr>
        <w:t>II.</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jc w:val="both"/>
        <w:rPr>
          <w:rFonts w:ascii="Times New Roman" w:hAnsi="Times New Roman" w:cs="Times New Roman"/>
          <w:color w:val="000000"/>
          <w:sz w:val="24"/>
          <w:lang w:eastAsia="en-US"/>
        </w:rPr>
      </w:pPr>
      <w:r>
        <w:rPr>
          <w:rFonts w:cs="Times New Roman" w:ascii="Times New Roman" w:hAnsi="Times New Roman"/>
          <w:color w:val="000000"/>
          <w:sz w:val="24"/>
          <w:lang w:eastAsia="en-US"/>
        </w:rPr>
        <w:tab/>
        <w:t>ENA is comprised of a number of companies which are subsidiaries of Enron Corp.  In the natural gas industry, ENA's activities include buying and selling natural gas in North America, providing a broad array of services to gas producers, offering price hedging and risk management services to gas buyers and sellers, and offering producers and other market participants various financing options.  ENA is one of the largest marketers of natural gas in the United States.</w:t>
      </w:r>
    </w:p>
    <w:p>
      <w:pPr>
        <w:pStyle w:val="Normal"/>
        <w:keepNext w:val="true"/>
        <w:tabs>
          <w:tab w:val="clear" w:pos="720"/>
          <w:tab w:val="left" w:pos="1440" w:leader="none"/>
          <w:tab w:val="left" w:pos="3600" w:leader="none"/>
          <w:tab w:val="left" w:pos="4320" w:leader="none"/>
          <w:tab w:val="left" w:pos="5040" w:leader="none"/>
          <w:tab w:val="left" w:pos="5856" w:leader="none"/>
        </w:tabs>
        <w:spacing w:lineRule="auto" w:line="480" w:before="120" w:after="0"/>
        <w:jc w:val="center"/>
        <w:rPr>
          <w:rFonts w:ascii="Times New Roman" w:hAnsi="Times New Roman" w:cs="Times New Roman"/>
          <w:b/>
          <w:sz w:val="24"/>
        </w:rPr>
      </w:pPr>
      <w:r>
        <w:rPr>
          <w:rFonts w:cs="Times New Roman" w:ascii="Times New Roman" w:hAnsi="Times New Roman"/>
          <w:b/>
          <w:sz w:val="24"/>
        </w:rPr>
        <w:t>III.</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jc w:val="both"/>
        <w:rPr>
          <w:rFonts w:ascii="Times New Roman" w:hAnsi="Times New Roman" w:cs="Times New Roman"/>
          <w:sz w:val="24"/>
        </w:rPr>
      </w:pPr>
      <w:r>
        <w:rPr>
          <w:rFonts w:cs="Times New Roman" w:ascii="Times New Roman" w:hAnsi="Times New Roman"/>
          <w:sz w:val="24"/>
        </w:rPr>
        <w:tab/>
        <w:t xml:space="preserve">On March 15, 2001, Kern River Gas Transmission Company (“Kern River”) filed an application to construct and operate emergency facilities to provide up to 135,000 Mcf per day of limited-term, incremental transportation capacity from Wyoming to California to help meet the urgent need for additional energy in California.  Kern River proposes to construct three new compressor stations in Utah and California; upgrade and restage compressor units at three existing compressor stations in Wyoming, Utah, and Nevada; and upgrade an existing meter station in California.  Subject to receipt of all necessary permits and regulatory authorizations, Kern River anticipates an in-service date of about July 1, 2001.  </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jc w:val="both"/>
        <w:rPr>
          <w:rFonts w:ascii="Times New Roman" w:hAnsi="Times New Roman" w:cs="Times New Roman"/>
          <w:sz w:val="24"/>
        </w:rPr>
      </w:pPr>
      <w:r>
        <w:rPr>
          <w:rFonts w:cs="Times New Roman" w:ascii="Times New Roman" w:hAnsi="Times New Roman"/>
          <w:sz w:val="24"/>
        </w:rPr>
        <w:tab/>
        <w:t>Kern River states that approval of new compressor stations at these sites is also pending in Docket No. CP01-31-000 for Kern River’s 2002 Expansion Project, although with different compressor configurations than proposed in this proceeding.  Kern River states that the new compressor station in California is temporary and will subsequently be replaced with a permanent compressor unit as part of the 2002 Expansion Project.  The remainder of the proposed emergency facilities will be permanently incorporated into either the 2002 Expansion Project or Kern River’s forthcoming 2003 Expansion Project.  Kern River requests pre-granted approval and permission to abandon the proposed temporary compressor unit upon the in-service date of the replacement permanent unit for the 2002 Expansion Project.</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jc w:val="both"/>
        <w:rPr>
          <w:rFonts w:ascii="Times New Roman" w:hAnsi="Times New Roman" w:cs="Times New Roman"/>
          <w:sz w:val="24"/>
        </w:rPr>
      </w:pPr>
      <w:r>
        <w:rPr>
          <w:rFonts w:cs="Times New Roman" w:ascii="Times New Roman" w:hAnsi="Times New Roman"/>
          <w:sz w:val="24"/>
        </w:rPr>
        <w:tab/>
        <w:t>Kern River further requests approval of incremental transportation rates for the proposed capacity, approval of a pro forma FERC Gas Tariff provision providing for incremental compressor fuel reimbursement, and approval of its proposed accounting treatment for certain facility costs.  Kern River states that the estimated costs of the proposed facilities is approximately $81 million and that it has received binding commitments under an open season for all of the proposed incremental capacity.</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jc w:val="both"/>
        <w:rPr>
          <w:rFonts w:ascii="Times New Roman" w:hAnsi="Times New Roman" w:cs="Times New Roman"/>
          <w:sz w:val="24"/>
        </w:rPr>
      </w:pPr>
      <w:r>
        <w:rPr>
          <w:rFonts w:cs="Times New Roman" w:ascii="Times New Roman" w:hAnsi="Times New Roman"/>
          <w:sz w:val="24"/>
        </w:rPr>
        <w:tab/>
        <w:t>Pending issuance of a permanent certificate for its proposed emergency action, Kern River requests that the Commission issue it a temporary certificate pursuant to Section 157.17 of its regulations.</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jc w:val="center"/>
        <w:rPr>
          <w:rFonts w:ascii="Times New Roman" w:hAnsi="Times New Roman" w:cs="Times New Roman"/>
          <w:b/>
          <w:sz w:val="24"/>
        </w:rPr>
      </w:pPr>
      <w:r>
        <w:rPr>
          <w:rFonts w:cs="Times New Roman" w:ascii="Times New Roman" w:hAnsi="Times New Roman"/>
          <w:b/>
          <w:sz w:val="24"/>
        </w:rPr>
        <w:t>IV.</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jc w:val="both"/>
        <w:rPr>
          <w:rFonts w:ascii="Times New Roman" w:hAnsi="Times New Roman" w:cs="Times New Roman"/>
          <w:sz w:val="24"/>
        </w:rPr>
      </w:pPr>
      <w:r>
        <w:rPr>
          <w:rFonts w:cs="Times New Roman" w:ascii="Times New Roman" w:hAnsi="Times New Roman"/>
          <w:sz w:val="24"/>
        </w:rPr>
        <w:tab/>
        <w:t>ENA has entered into a binding service agreement with Kern River and will be a firm shipper on the proposed facilities when they are placed in service.  Accordingly, as a shipper and marketer of natural gas, ENA has an interest which may be directly affected by the outcome in these proceedings.  Moreover, ENA’s interests cannot be adequately represented by any other party to these proceedings, and ENA’s participation in these proceedings will be in the public interest.</w:t>
      </w:r>
    </w:p>
    <w:p>
      <w:pPr>
        <w:pStyle w:val="Normal"/>
        <w:keepNext w:val="true"/>
        <w:tabs>
          <w:tab w:val="clear" w:pos="720"/>
          <w:tab w:val="left" w:pos="1440" w:leader="none"/>
          <w:tab w:val="left" w:pos="3600" w:leader="none"/>
          <w:tab w:val="left" w:pos="4320" w:leader="none"/>
          <w:tab w:val="left" w:pos="5040" w:leader="none"/>
          <w:tab w:val="left" w:pos="5856" w:leader="none"/>
        </w:tabs>
        <w:spacing w:lineRule="auto" w:line="480" w:before="120" w:after="0"/>
        <w:jc w:val="center"/>
        <w:rPr>
          <w:rFonts w:ascii="Times New Roman" w:hAnsi="Times New Roman" w:cs="Times New Roman"/>
          <w:b/>
          <w:sz w:val="24"/>
        </w:rPr>
      </w:pPr>
      <w:r>
        <w:rPr>
          <w:rFonts w:cs="Times New Roman" w:ascii="Times New Roman" w:hAnsi="Times New Roman"/>
          <w:b/>
          <w:sz w:val="24"/>
        </w:rPr>
        <w:t>V.</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jc w:val="both"/>
        <w:rPr>
          <w:rFonts w:ascii="Times New Roman" w:hAnsi="Times New Roman" w:cs="Times New Roman"/>
          <w:sz w:val="24"/>
        </w:rPr>
      </w:pPr>
      <w:r>
        <w:rPr>
          <w:rFonts w:cs="Times New Roman" w:ascii="Times New Roman" w:hAnsi="Times New Roman"/>
          <w:sz w:val="24"/>
        </w:rPr>
        <w:tab/>
        <w:t>As a shipper that has contracted for firm capacity on the proposed emergency facilities, ECT fully supports Kern River’s proposal.  Additional natural gas supplies are urgently needed to serve existing and new electric generation markets to help meet California’s energy needs during the 2001 cooling season, and ENA believes that Kern River’s proposed emergency facilities are necessary to meeting that need.</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jc w:val="both"/>
        <w:rPr>
          <w:rFonts w:ascii="Times New Roman" w:hAnsi="Times New Roman" w:cs="Times New Roman"/>
          <w:sz w:val="24"/>
        </w:rPr>
      </w:pPr>
      <w:r>
        <w:rPr>
          <w:rFonts w:cs="Times New Roman" w:ascii="Times New Roman" w:hAnsi="Times New Roman"/>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spacing w:lineRule="auto" w:line="480" w:before="240" w:after="0"/>
        <w:jc w:val="both"/>
        <w:rPr>
          <w:rFonts w:ascii="Times New Roman" w:hAnsi="Times New Roman" w:cs="Times New Roman"/>
          <w:sz w:val="24"/>
        </w:rPr>
      </w:pPr>
      <w:r>
        <w:rPr>
          <w:rFonts w:cs="Times New Roman" w:ascii="Times New Roman" w:hAnsi="Times New Roman"/>
          <w:sz w:val="24"/>
        </w:rPr>
        <w:tab/>
        <w:t>WHEREFORE, for the reasons set forth herein, ENA respectfully moves to intervene in the above-captioned proceeding, requests that it be accorded all rights as a full party to such proceeding, and urges the Commission to approve Kern River’s proposal as filed.</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Respectfully submitted,</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r>
      <w:r>
        <w:rPr>
          <w:rFonts w:cs="Times New Roman" w:ascii="Times New Roman" w:hAnsi="Times New Roman"/>
          <w:sz w:val="24"/>
          <w:u w:val="single"/>
        </w:rPr>
        <w:t xml:space="preserve">                                                     </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Leslie J. Lawner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Attorney for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Enron North America Corp.</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712 N. Lea</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Roswell, New Mexico  88201</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(505) 623-6778</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16"/>
        </w:rPr>
      </w:pPr>
      <w:r>
        <w:rPr>
          <w:rFonts w:cs="Times New Roman" w:ascii="Times New Roman" w:hAnsi="Times New Roman"/>
          <w:sz w:val="24"/>
        </w:rPr>
        <w:t>Dated:  March 30, 2001</w:t>
      </w:r>
    </w:p>
    <w:p>
      <w:pPr>
        <w:sectPr>
          <w:headerReference w:type="default" r:id="rId3"/>
          <w:headerReference w:type="first" r:id="rId4"/>
          <w:type w:val="nextPage"/>
          <w:pgSz w:w="12240" w:h="15840"/>
          <w:pgMar w:left="1440" w:right="1440" w:gutter="0" w:header="720" w:top="1440" w:footer="0" w:bottom="1440"/>
          <w:pgNumType w:start="1" w:fmt="decimal"/>
          <w:formProt w:val="false"/>
          <w:titlePg/>
          <w:textDirection w:val="lrTb"/>
          <w:docGrid w:type="default" w:linePitch="360" w:charSpace="0"/>
        </w:sect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rFonts w:ascii="Times New Roman" w:hAnsi="Times New Roman" w:cs="Times New Roman"/>
          <w:sz w:val="24"/>
          <w:u w:val="single"/>
        </w:rPr>
      </w:pPr>
      <w:r>
        <w:rPr>
          <w:rFonts w:cs="Times New Roman" w:ascii="Times New Roman" w:hAnsi="Times New Roman"/>
          <w:sz w:val="24"/>
          <w:u w:val="single"/>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rFonts w:ascii="Times New Roman" w:hAnsi="Times New Roman" w:cs="Times New Roman"/>
          <w:sz w:val="24"/>
        </w:rPr>
      </w:pPr>
      <w:r>
        <w:rPr>
          <w:rFonts w:cs="Times New Roman" w:ascii="Times New Roman" w:hAnsi="Times New Roman"/>
          <w:sz w:val="24"/>
          <w:u w:val="single"/>
        </w:rPr>
        <w:t>CERTIFICATE OF SERVICE</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rFonts w:ascii="Times New Roman" w:hAnsi="Times New Roman" w:cs="Times New Roman"/>
          <w:sz w:val="24"/>
        </w:rPr>
      </w:pPr>
      <w:r>
        <w:rPr>
          <w:rFonts w:cs="Times New Roman" w:ascii="Times New Roman" w:hAnsi="Times New Roman"/>
          <w:sz w:val="24"/>
        </w:rPr>
        <w:tab/>
        <w:t>I, Leslie J. Lawner, hereby certify that I have caused a copy of the foregoing document to be served upon the Secretary of the Commission in accordance with the re</w:t>
        <w:softHyphen/>
        <w:t>quirements of Rule 2010 of the Rules of Practice and Procedure.</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rFonts w:ascii="Times New Roman" w:hAnsi="Times New Roman" w:cs="Times New Roman"/>
          <w:sz w:val="24"/>
        </w:rPr>
      </w:pPr>
      <w:r>
        <w:rPr>
          <w:rFonts w:cs="Times New Roman" w:ascii="Times New Roman" w:hAnsi="Times New Roman"/>
          <w:sz w:val="24"/>
        </w:rPr>
        <w:tab/>
        <w:t>Dated this 30th day of March 2001.</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r>
      <w:r>
        <w:rPr>
          <w:rFonts w:cs="Times New Roman" w:ascii="Times New Roman" w:hAnsi="Times New Roman"/>
          <w:sz w:val="24"/>
          <w:u w:val="single"/>
        </w:rPr>
        <w:t xml:space="preserve">                                                     </w:t>
      </w:r>
    </w:p>
    <w:p>
      <w:pPr>
        <w:pStyle w:val="Normal"/>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Leslie J. Lawner</w:t>
      </w:r>
    </w:p>
    <w:sectPr>
      <w:headerReference w:type="default" r:id="rId5"/>
      <w:headerReference w:type="first" r:id="rId6"/>
      <w:type w:val="nextPage"/>
      <w:pgSz w:w="12240" w:h="15840"/>
      <w:pgMar w:left="1440" w:right="1440" w:gutter="0" w:header="720" w:top="1440" w:footer="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default"/>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270" w:leader="none"/>
      </w:tabs>
      <w:rPr>
        <w:rStyle w:val="PageNumber"/>
        <w:rFonts w:ascii="Times New Roman" w:hAnsi="Times New Roman" w:cs="Times New Roman"/>
      </w:rPr>
    </w:pPr>
    <w:r>
      <w:rPr>
        <w:rFonts w:cs="Times New Roman" w:ascii="Times New Roman" w:hAnsi="Times New Roman"/>
      </w:rPr>
      <w:t>Docket No. CP01-106-000</w:t>
      <w:tab/>
      <w:tab/>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4</w:t>
    </w:r>
    <w:r>
      <w:rPr>
        <w:rStyle w:val="PageNumber"/>
        <w:rFonts w:cs="Times New Roman" w:ascii="Times New Roman" w:hAnsi="Times New Roman"/>
      </w:rPr>
      <w:fldChar w:fldCharType="end"/>
    </w:r>
  </w:p>
  <w:p>
    <w:pPr>
      <w:pStyle w:val="Header"/>
      <w:tabs>
        <w:tab w:val="clear" w:pos="8640"/>
        <w:tab w:val="center" w:pos="4320" w:leader="none"/>
        <w:tab w:val="right" w:pos="9270" w:leader="none"/>
      </w:tabs>
      <w:rPr>
        <w:rStyle w:val="PageNumber"/>
        <w:rFonts w:ascii="Times New Roman" w:hAnsi="Times New Roman" w:cs="Times New Roman"/>
      </w:rPr>
    </w:pPr>
    <w:r>
      <w:rPr/>
    </w:r>
  </w:p>
  <w:p>
    <w:pPr>
      <w:pStyle w:val="Header"/>
      <w:tabs>
        <w:tab w:val="clear" w:pos="8640"/>
        <w:tab w:val="center" w:pos="4320" w:leader="none"/>
        <w:tab w:val="right" w:pos="9270" w:leader="none"/>
      </w:tabs>
      <w:rPr>
        <w:rStyle w:val="PageNumber"/>
        <w:rFonts w:ascii="Times New Roman" w:hAnsi="Times New Roman" w:cs="Times New Roman"/>
      </w:rPr>
    </w:pPr>
    <w:r>
      <w:rPr/>
    </w:r>
  </w:p>
  <w:p>
    <w:pPr>
      <w:pStyle w:val="Header"/>
      <w:tabs>
        <w:tab w:val="clear" w:pos="8640"/>
        <w:tab w:val="center" w:pos="4320" w:leader="none"/>
        <w:tab w:val="right" w:pos="9270" w:leader="none"/>
      </w:tabs>
      <w:rPr>
        <w:rStyle w:val="PageNumber"/>
        <w:rFonts w:ascii="Times New Roman" w:hAnsi="Times New Roman" w:cs="Times New Roman"/>
      </w:rPr>
    </w:pPr>
    <w:r>
      <w:rPr/>
    </w:r>
  </w:p>
  <w:p>
    <w:pPr>
      <w:pStyle w:val="Header"/>
      <w:tabs>
        <w:tab w:val="clear" w:pos="8640"/>
        <w:tab w:val="center" w:pos="4320" w:leader="none"/>
        <w:tab w:val="right" w:pos="9270" w:leader="none"/>
      </w:tabs>
      <w:rPr>
        <w:rStyle w:val="PageNumber"/>
        <w:rFonts w:ascii="Times New Roman" w:hAnsi="Times New Roman" w:cs="Times New Roman"/>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270" w:leader="none"/>
      </w:tabs>
      <w:rPr/>
    </w:pPr>
    <w:r>
      <w:rPr>
        <w:rFonts w:cs="Times New Roman" w:ascii="Times New Roman" w:hAnsi="Times New Roman"/>
      </w:rPr>
      <w:t>Docket No. CP01-106-000</w:t>
      <w:tab/>
      <w:tab/>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0</w:t>
    </w:r>
    <w:r>
      <w:rPr>
        <w:rStyle w:val="PageNumber"/>
        <w:rFonts w:cs="Times New Roman" w:ascii="Times New Roman" w:hAnsi="Times New Roman"/>
      </w:rPr>
      <w:fldChar w:fldCharType="end"/>
    </w:r>
  </w:p>
  <w:p>
    <w:pPr>
      <w:pStyle w:val="Header"/>
      <w:tabs>
        <w:tab w:val="clear" w:pos="8640"/>
        <w:tab w:val="center" w:pos="4320" w:leader="none"/>
        <w:tab w:val="right" w:pos="9270" w:leader="none"/>
      </w:tabs>
      <w:rPr>
        <w:rStyle w:val="PageNumber"/>
        <w:rFonts w:ascii="Times New Roman" w:hAnsi="Times New Roman" w:cs="Times New Roman"/>
      </w:rPr>
    </w:pPr>
    <w:r>
      <w:rPr/>
    </w:r>
  </w:p>
  <w:p>
    <w:pPr>
      <w:pStyle w:val="Header"/>
      <w:tabs>
        <w:tab w:val="clear" w:pos="8640"/>
        <w:tab w:val="center" w:pos="4320" w:leader="none"/>
        <w:tab w:val="right" w:pos="9270" w:leader="none"/>
      </w:tabs>
      <w:rPr>
        <w:rStyle w:val="PageNumber"/>
        <w:rFonts w:ascii="Times New Roman" w:hAnsi="Times New Roman" w:cs="Times New Roman"/>
      </w:rPr>
    </w:pPr>
    <w:r>
      <w:rPr/>
    </w:r>
  </w:p>
  <w:p>
    <w:pPr>
      <w:pStyle w:val="Header"/>
      <w:tabs>
        <w:tab w:val="clear" w:pos="8640"/>
        <w:tab w:val="center" w:pos="4320" w:leader="none"/>
        <w:tab w:val="right" w:pos="9270" w:leader="none"/>
      </w:tabs>
      <w:rPr>
        <w:rStyle w:val="PageNumber"/>
        <w:rFonts w:ascii="Times New Roman" w:hAnsi="Times New Roman" w:cs="Times New Roman"/>
      </w:rPr>
    </w:pPr>
    <w:r>
      <w:rPr/>
    </w:r>
  </w:p>
  <w:p>
    <w:pPr>
      <w:pStyle w:val="Header"/>
      <w:tabs>
        <w:tab w:val="clear" w:pos="8640"/>
        <w:tab w:val="center" w:pos="4320" w:leader="none"/>
        <w:tab w:val="right" w:pos="9270" w:leader="none"/>
      </w:tabs>
      <w:rPr>
        <w:rStyle w:val="PageNumber"/>
        <w:rFonts w:ascii="Times New Roman" w:hAnsi="Times New Roman" w:cs="Times New Roman"/>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N)" w:hAnsi="CG Times (WN)" w:eastAsia="Times New Roman" w:cs="CG Times (WN)"/>
      <w:color w:val="auto"/>
      <w:sz w:val="20"/>
      <w:szCs w:val="20"/>
      <w:lang w:val="en-US" w:eastAsia="zh-CN" w:bidi="hi-IN"/>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cantre@ect.enron.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2001-03-29T20:42:00Z</dcterms:created>
  <dc:creator>ECT</dc:creator>
  <dc:description/>
  <dc:language>en-CA</dc:language>
  <cp:lastModifiedBy>bcantre</cp:lastModifiedBy>
  <cp:lastPrinted>2001-03-29T17:34:00Z</cp:lastPrinted>
  <dcterms:modified xsi:type="dcterms:W3CDTF">2001-03-29T21:04:00Z</dcterms:modified>
  <cp:revision>3</cp:revision>
  <dc:subject>INTERVENTION</dc:subject>
  <dc:title>FORM - ENRON ACCESS COPR. </dc:title>
</cp:coreProperties>
</file>