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 xml:space="preserve">DRAFT OUTLINE </w:t>
      </w:r>
    </w:p>
    <w:p>
      <w:pPr>
        <w:pStyle w:val="Normal"/>
        <w:jc w:val="center"/>
        <w:rPr>
          <w:b/>
        </w:rPr>
      </w:pPr>
      <w:r>
        <w:rPr>
          <w:b/>
        </w:rPr>
      </w:r>
    </w:p>
    <w:p>
      <w:pPr>
        <w:pStyle w:val="Heading1"/>
        <w:ind w:hanging="0" w:start="0"/>
        <w:rPr/>
      </w:pPr>
      <w:r>
        <w:rPr/>
        <w:t>COU Obligations Vs. Obligations under law</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COU Provision</w:t>
            </w:r>
          </w:p>
        </w:tc>
        <w:tc>
          <w:tcPr>
            <w:tcW w:w="478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Obligations Under Law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 xml:space="preserve">Section 2 – </w:t>
            </w:r>
            <w:r>
              <w:rPr>
                <w:u w:val="single"/>
              </w:rPr>
              <w:t>General Obligations at the Port</w:t>
            </w:r>
          </w:p>
          <w:p>
            <w:pPr>
              <w:pStyle w:val="Normal"/>
              <w:rPr/>
            </w:pPr>
            <w:r>
              <w:rPr/>
            </w:r>
          </w:p>
          <w:p>
            <w:pPr>
              <w:pStyle w:val="Normal"/>
              <w:rPr/>
            </w:pPr>
            <w:r>
              <w:rPr/>
              <w:t xml:space="preserve">2.1 </w:t>
              <w:tab/>
              <w:t>- Requirement on Vessel Interests to be in compliance with applicable laws, regulations and permits.</w:t>
            </w:r>
          </w:p>
          <w:p>
            <w:pPr>
              <w:pStyle w:val="Normal"/>
              <w:rPr/>
            </w:pPr>
            <w:r>
              <w:rPr/>
            </w:r>
          </w:p>
          <w:p>
            <w:pPr>
              <w:pStyle w:val="Normal"/>
              <w:rPr/>
            </w:pPr>
            <w:r>
              <w:rPr/>
            </w:r>
          </w:p>
          <w:p>
            <w:pPr>
              <w:pStyle w:val="Normal"/>
              <w:rPr/>
            </w:pPr>
            <w:r>
              <w:rPr/>
            </w:r>
          </w:p>
          <w:p>
            <w:pPr>
              <w:pStyle w:val="Normal"/>
              <w:rPr/>
            </w:pPr>
            <w:r>
              <w:rPr/>
            </w:r>
          </w:p>
          <w:p>
            <w:pPr>
              <w:pStyle w:val="Normal"/>
              <w:rPr/>
            </w:pPr>
            <w:r>
              <w:rPr/>
              <w:tab/>
            </w:r>
          </w:p>
          <w:p>
            <w:pPr>
              <w:pStyle w:val="Normal"/>
              <w:rPr/>
            </w:pPr>
            <w:r>
              <w:rPr/>
            </w:r>
          </w:p>
          <w:p>
            <w:pPr>
              <w:pStyle w:val="Normal"/>
              <w:rPr/>
            </w:pPr>
            <w:r>
              <w:rPr/>
            </w:r>
          </w:p>
          <w:p>
            <w:pPr>
              <w:pStyle w:val="Normal"/>
              <w:rPr/>
            </w:pPr>
            <w:r>
              <w:rPr/>
            </w:r>
          </w:p>
          <w:p>
            <w:pPr>
              <w:pStyle w:val="Normal"/>
              <w:rPr/>
            </w:pPr>
            <w:r>
              <w:rPr/>
              <w:t>- Reporting requirements regarding manatees and sea turtles pursuant to 75 FERC ¶ 61,157.</w:t>
            </w:r>
          </w:p>
          <w:p>
            <w:pPr>
              <w:pStyle w:val="Normal"/>
              <w:rPr/>
            </w:pPr>
            <w:r>
              <w:rPr/>
            </w:r>
          </w:p>
          <w:p>
            <w:pPr>
              <w:pStyle w:val="Normal"/>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pPr>
            <w:r>
              <w:rPr/>
              <w:t xml:space="preserve">If  Vessel Interests are not in compliance with laws, they are also in breach of a contractual obligation (Section 2.1). Without the COU, the LNG Interests typically would not have a private right of action against the Vessel Interests for violations of laws/regulations/permits (although certain environmental laws, for example, specify availability of private rights of action). </w:t>
            </w:r>
          </w:p>
          <w:p>
            <w:pPr>
              <w:pStyle w:val="FootnoteText"/>
              <w:rPr/>
            </w:pPr>
            <w:r>
              <w:rPr/>
              <w:t xml:space="preserve"> </w:t>
            </w:r>
          </w:p>
          <w:p>
            <w:pPr>
              <w:pStyle w:val="Normal"/>
              <w:numPr>
                <w:ilvl w:val="0"/>
                <w:numId w:val="2"/>
              </w:numPr>
              <w:rPr/>
            </w:pPr>
            <w:r>
              <w:rPr/>
              <w:t>The reporting requirements are imposed by a FERC order directed to the LNG Facility. Without the COU, the obligations cannot be imposed on the vessel (Vessel Interests); Eco would remain liable under the FERC order, but might not be in a position to implement it nor would it have recourse against the vessel (Vessel Interests).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2.5</w:t>
              <w:tab/>
              <w:t>- Master’s duty to remove and place LNG tanker (to, at or from any berth) as directed by the LNG Interests, or USCG or Port Authority.</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The COU clarifies the terminal/port operators (LNG Interests) right to requir</w:t>
            </w:r>
            <w:r>
              <w:rPr>
                <w:b/>
              </w:rPr>
              <w:t>e</w:t>
            </w:r>
            <w:r>
              <w:rPr/>
              <w:t xml:space="preserve"> repositioning/removal of the LNG Tanker.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3</w:t>
              <w:tab/>
              <w:t xml:space="preserve">- </w:t>
            </w:r>
            <w:r>
              <w:rPr>
                <w:u w:val="single"/>
              </w:rPr>
              <w:t>Loss or Damage Suffered by Vessel Interests</w:t>
            </w:r>
          </w:p>
          <w:p>
            <w:pPr>
              <w:pStyle w:val="Normal"/>
              <w:rPr>
                <w:u w:val="single"/>
              </w:rPr>
            </w:pPr>
            <w:r>
              <w:rPr>
                <w:u w:val="single"/>
              </w:rPr>
            </w:r>
          </w:p>
          <w:p>
            <w:pPr>
              <w:pStyle w:val="Normal"/>
              <w:rPr/>
            </w:pPr>
            <w:r>
              <w:rPr/>
              <w:t>-</w:t>
              <w:tab/>
              <w:t>A Vessel Interest foregoes a right to seek recovery for any loss or damage, including third party consequential damages under both tort and contract resulting from physical loss, damage or delay to the LNG tanker or to any other vessel rendering service, or any other third party claim against the Vessel Interest.</w:t>
            </w:r>
          </w:p>
        </w:tc>
        <w:tc>
          <w:tcPr>
            <w:tcW w:w="4788" w:type="dxa"/>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p>
            <w:pPr>
              <w:pStyle w:val="Normal"/>
              <w:rPr/>
            </w:pPr>
            <w:r>
              <w:rPr/>
            </w:r>
          </w:p>
          <w:p>
            <w:pPr>
              <w:pStyle w:val="Normal"/>
              <w:rPr/>
            </w:pPr>
            <w:r>
              <w:rPr/>
            </w:r>
          </w:p>
          <w:p>
            <w:pPr>
              <w:pStyle w:val="Normal"/>
              <w:numPr>
                <w:ilvl w:val="0"/>
                <w:numId w:val="2"/>
              </w:numPr>
              <w:rPr/>
            </w:pPr>
            <w:r>
              <w:rPr/>
              <w:t xml:space="preserve">Without the COU, vessel (owner/operator) or third parties (presently included in the definition of  Vessel Interests, </w:t>
            </w:r>
            <w:r>
              <w:rPr>
                <w:u w:val="single"/>
              </w:rPr>
              <w:t>e.g.</w:t>
            </w:r>
            <w:r>
              <w:rPr/>
              <w:t>,</w:t>
            </w:r>
            <w:r>
              <w:rPr>
                <w:i/>
              </w:rPr>
              <w:t xml:space="preserve"> </w:t>
            </w:r>
            <w:r>
              <w:rPr/>
              <w:t>tugs and escort vessels) will have a right to recover from the terminal/port operator) (LNG Interests) if terminal/port operator is responsible for the damage to the vessel or third party.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t>Section 4</w:t>
              <w:tab/>
              <w:t xml:space="preserve">- </w:t>
            </w:r>
            <w:r>
              <w:rPr>
                <w:u w:val="single"/>
              </w:rPr>
              <w:t>Damage to the Port or the Facilities</w:t>
            </w:r>
          </w:p>
          <w:p>
            <w:pPr>
              <w:pStyle w:val="Normal"/>
              <w:rPr>
                <w:u w:val="single"/>
              </w:rPr>
            </w:pPr>
            <w:r>
              <w:rPr>
                <w:u w:val="single"/>
              </w:rPr>
            </w:r>
          </w:p>
          <w:p>
            <w:pPr>
              <w:pStyle w:val="Normal"/>
              <w:rPr>
                <w:u w:val="single"/>
              </w:rPr>
            </w:pPr>
            <w:r>
              <w:rPr>
                <w:u w:val="single"/>
              </w:rPr>
            </w:r>
          </w:p>
          <w:p>
            <w:pPr>
              <w:pStyle w:val="Normal"/>
              <w:rPr/>
            </w:pPr>
            <w:r>
              <w:rPr/>
              <w:t>4.1</w:t>
              <w:tab/>
              <w:t>- Apportions, with regard to an Incident, the liability for damage to the port or facilities or losses incurred by LNG Interests (including third party claims) depending on the degree of “fault” of LNG Interests and the Vessel Interests.</w:t>
            </w:r>
          </w:p>
          <w:p>
            <w:pPr>
              <w:pStyle w:val="Normal"/>
              <w:rPr/>
            </w:pPr>
            <w:r>
              <w:rPr/>
            </w:r>
          </w:p>
          <w:p>
            <w:pPr>
              <w:pStyle w:val="Normal"/>
              <w:ind w:hanging="720" w:start="720" w:end="0"/>
              <w:rPr/>
            </w:pPr>
            <w:r>
              <w:rPr/>
              <w:t>(a)</w:t>
              <w:tab/>
              <w:t>by the Vessel Interests alone, if the Vessel Interests are wholly or partially at fault and the LNG Interests are not at fault;</w:t>
            </w:r>
          </w:p>
          <w:p>
            <w:pPr>
              <w:pStyle w:val="Normal"/>
              <w:rPr/>
            </w:pPr>
            <w:r>
              <w:rPr/>
            </w:r>
          </w:p>
          <w:p>
            <w:pPr>
              <w:pStyle w:val="Normal"/>
              <w:ind w:hanging="720" w:start="720" w:end="0"/>
              <w:rPr/>
            </w:pPr>
            <w:r>
              <w:rPr/>
              <w:t>(b)</w:t>
              <w:tab/>
              <w:t>by the LNG Interests alone, if the LNG Interests are wholly or partially at fault and the Vessel Interests are not at fault;</w:t>
            </w:r>
          </w:p>
          <w:p>
            <w:pPr>
              <w:pStyle w:val="Normal"/>
              <w:rPr/>
            </w:pPr>
            <w:r>
              <w:rPr/>
            </w:r>
          </w:p>
          <w:p>
            <w:pPr>
              <w:pStyle w:val="Normal"/>
              <w:ind w:hanging="720" w:start="720" w:end="0"/>
              <w:rPr/>
            </w:pPr>
            <w:r>
              <w:rPr/>
              <w:t>(c)</w:t>
              <w:tab/>
              <w:t>by the Vessel Interests and the LNG  Interests in proportion to the degree of their respective fault, if both are at fault and the degree of such fault can be established; or</w:t>
            </w:r>
          </w:p>
          <w:p>
            <w:pPr>
              <w:pStyle w:val="Normal"/>
              <w:ind w:hanging="720" w:start="720" w:end="0"/>
              <w:rPr/>
            </w:pPr>
            <w:r>
              <w:rPr/>
            </w:r>
          </w:p>
          <w:p>
            <w:pPr>
              <w:pStyle w:val="Normal"/>
              <w:ind w:hanging="720" w:start="720" w:end="0"/>
              <w:rPr/>
            </w:pPr>
            <w:r>
              <w:rPr/>
              <w:t>(d)</w:t>
              <w:tab/>
              <w:t>by the Vessel Interests and the LNG Interests equally, if neither of them appears to be at fault or it is not possible to establish the degree of their respective fault</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color w:val="000000"/>
              </w:rPr>
              <w:t>Due to the comprehensive scope of the COU definitions of “Facilities” (</w:t>
            </w:r>
            <w:r>
              <w:rPr>
                <w:color w:val="000000"/>
                <w:u w:val="single"/>
              </w:rPr>
              <w:t>e.g.</w:t>
            </w:r>
            <w:r>
              <w:rPr>
                <w:color w:val="000000"/>
              </w:rPr>
              <w:t>, including the power plant, desalination plant and pipeline in addition to the marine terminal and receiving facilities) and “Incident” (</w:t>
            </w:r>
            <w:r>
              <w:rPr>
                <w:color w:val="000000"/>
                <w:u w:val="single"/>
              </w:rPr>
              <w:t>e.g.</w:t>
            </w:r>
            <w:r>
              <w:rPr>
                <w:color w:val="000000"/>
              </w:rPr>
              <w:t>, including interference with normal operation of the Facilities), the scope of damages/losses covered under the COU is somewhat broader – and the lines are more clearly drawn – than would be the case under general maritime law and statute.</w:t>
            </w:r>
          </w:p>
          <w:p>
            <w:pPr>
              <w:pStyle w:val="Normal"/>
              <w:rPr/>
            </w:pPr>
            <w:r>
              <w:rPr/>
            </w:r>
          </w:p>
          <w:p>
            <w:pPr>
              <w:pStyle w:val="Normal"/>
              <w:numPr>
                <w:ilvl w:val="0"/>
                <w:numId w:val="2"/>
              </w:numPr>
              <w:rPr/>
            </w:pPr>
            <w:r>
              <w:rPr/>
              <w:t>With the exception of one portion of (d), the specified allocations are in accordance with comparative fault doctrine applicable under general maritime law.  Regarding (d) and its 50/50 division of damages/losses if “neither [party] appears to be at fault,” general maritime law would require instead that the parties each bear their own damages/losses under such circumstances.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4.2</w:t>
            </w:r>
            <w:r>
              <w:rPr>
                <w:i/>
              </w:rPr>
              <w:tab/>
            </w:r>
            <w:r>
              <w:rPr/>
              <w:t>- Provides Vessel Interests with defenses to liability under Section 4.1(d).  At the present, the defenses have been modeled on defenses for liability under the Oil Pollution Act of 1990.</w:t>
            </w:r>
          </w:p>
          <w:p>
            <w:pPr>
              <w:pStyle w:val="Normal"/>
              <w:rPr>
                <w:i/>
                <w:i/>
              </w:rPr>
            </w:pPr>
            <w:r>
              <w:rPr>
                <w:i/>
              </w:rPr>
            </w:r>
          </w:p>
          <w:p>
            <w:pPr>
              <w:pStyle w:val="Normal"/>
              <w:rPr>
                <w:i/>
                <w:i/>
              </w:rPr>
            </w:pPr>
            <w:r>
              <w:rPr>
                <w:i/>
              </w:rPr>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i/>
                <w:i/>
              </w:rPr>
            </w:pPr>
            <w:r>
              <w:rPr/>
              <w:t>Without the COU, defenses to liability may be broader (based on common law, maritime law and/or statute) to include certain other force majeure-type defenses (</w:t>
            </w:r>
            <w:r>
              <w:rPr>
                <w:u w:val="single"/>
              </w:rPr>
              <w:t>e.g.</w:t>
            </w:r>
            <w:r>
              <w:rPr/>
              <w:t>, perils of the sea, arrest or restraint of princes, riots and civil commotions, strikes/lockouts/labor stoppages, etc.).</w:t>
            </w:r>
            <w:r>
              <w:rPr>
                <w:color w:val="000000"/>
              </w:rPr>
              <w:t xml:space="preserve"> With regard to the 4.1(d) situation in which neither party is at fault, 4.2 defenses to liability would (as to the specified defenses) bring the 4.1(d) allocation more in line with general maritime law.</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i/>
                <w:i/>
              </w:rPr>
            </w:pPr>
            <w:r>
              <w:rPr>
                <w:i/>
              </w:rPr>
            </w:r>
          </w:p>
          <w:p>
            <w:pPr>
              <w:pStyle w:val="Normal"/>
              <w:rPr/>
            </w:pPr>
            <w:r>
              <w:rPr/>
            </w:r>
          </w:p>
          <w:p>
            <w:pPr>
              <w:pStyle w:val="Normal"/>
              <w:rPr/>
            </w:pPr>
            <w:r>
              <w:rPr/>
            </w:r>
          </w:p>
          <w:p>
            <w:pPr>
              <w:pStyle w:val="Normal"/>
              <w:rPr/>
            </w:pPr>
            <w:r>
              <w:rPr/>
              <w:t>Section 5</w:t>
              <w:tab/>
              <w:t xml:space="preserve">- </w:t>
            </w:r>
            <w:r>
              <w:rPr>
                <w:u w:val="single"/>
              </w:rPr>
              <w:t>Personnel Claims</w:t>
            </w:r>
          </w:p>
          <w:p>
            <w:pPr>
              <w:pStyle w:val="Normal"/>
              <w:rPr/>
            </w:pPr>
            <w:r>
              <w:rPr/>
            </w:r>
          </w:p>
          <w:p>
            <w:pPr>
              <w:pStyle w:val="Normal"/>
              <w:rPr/>
            </w:pPr>
            <w:r>
              <w:rPr/>
              <w:t>5.1</w:t>
              <w:tab/>
              <w:t xml:space="preserve">- Sections 5.1 and 5.2 provide that LNG Interests and Vessel Interests shall be solely responsible for claims brought by their employees (or dependent of such employees) and indemnify the other if any employee family member or dependent of such employee brings a claim against such other party.                           </w:t>
            </w:r>
          </w:p>
          <w:p>
            <w:pPr>
              <w:pStyle w:val="Normal"/>
              <w:rPr/>
            </w:pPr>
            <w:r>
              <w:rPr/>
              <w:t xml:space="preserve"> </w:t>
            </w:r>
          </w:p>
          <w:p>
            <w:pPr>
              <w:pStyle w:val="Normal"/>
              <w:rPr/>
            </w:pPr>
            <w:r>
              <w:rPr/>
            </w:r>
          </w:p>
          <w:p>
            <w:pPr>
              <w:pStyle w:val="Normal"/>
              <w:rPr/>
            </w:pPr>
            <w:r>
              <w:rPr/>
            </w:r>
          </w:p>
          <w:p>
            <w:pPr>
              <w:pStyle w:val="Normal"/>
              <w:rPr/>
            </w:pPr>
            <w:r>
              <w:rPr/>
            </w:r>
          </w:p>
          <w:p>
            <w:pPr>
              <w:pStyle w:val="Normal"/>
              <w:rPr>
                <w:b/>
              </w:rPr>
            </w:pPr>
            <w:r>
              <w:rPr>
                <w:b/>
              </w:rPr>
            </w:r>
          </w:p>
          <w:p>
            <w:pPr>
              <w:pStyle w:val="Normal"/>
              <w:rPr/>
            </w:pPr>
            <w:r>
              <w:rPr>
                <w:b/>
              </w:rPr>
              <w:t>NOTE:</w:t>
            </w:r>
            <w:r>
              <w:rPr/>
              <w:t xml:space="preserve"> Eco employees engaged in “maritime employment” may be covered by the Longshore Act. The Longshore Act prohibits contractual </w:t>
            </w:r>
            <w:r>
              <w:rPr>
                <w:color w:val="000000"/>
              </w:rPr>
              <w:t>indemnity provisions that eliminate a ship owner's liability for injuries to the stevedore's employees. But, the prohibition on contractual indemnity provisions is narrowly construed, and can be overcome by requiring the stevedore to carry insurance that covers the ship owner (as an additional insured) for injuries to the stevedore's employees.</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Without the COU, claims against third parties (</w:t>
            </w:r>
            <w:r>
              <w:rPr>
                <w:u w:val="single"/>
              </w:rPr>
              <w:t>i.e</w:t>
            </w:r>
            <w:r>
              <w:rPr/>
              <w:t>. parties other than the employer of an employee) under certain circumstances are allowed. Such situations include: (1) claims by “seamen” under general maritime tort law (if there is admiralty jurisdiction and significant relationship to maritime activity); (2) claims by “seamen” (and under certain limited instances marine/longshore workers) against shipowner for unseaworthiness”; (3) claims by injured longshore workers the Longshore Act (</w:t>
            </w:r>
            <w:r>
              <w:rPr>
                <w:u w:val="single"/>
              </w:rPr>
              <w:t>i.e.</w:t>
            </w:r>
            <w:r>
              <w:rPr/>
              <w:t>, The Longshore and Harbor Workers Compensation Act, 33 U.S.C.§§ 901-950, at § 905(b)); (4) in addition to a cause of action under general maritime law, an “employer” can, pursuant to the Longshore Act (</w:t>
            </w:r>
            <w:r>
              <w:rPr>
                <w:u w:val="single"/>
              </w:rPr>
              <w:t>see</w:t>
            </w:r>
            <w:r>
              <w:rPr/>
              <w:t xml:space="preserve"> 33 U.S.C. § 933(b)), under circumstances when employer has paid employee under a “compensation order,” bring suit against a third party; (5) claims regarding wrongful death of “seamen”  may be brought pursuant to general maritime law; (6) claims regarding wrongful death of longshore workers may be brought pursuant to general maritime law ONLY if they are against a non-vessel third party; and (7) claims under state statutes for certain  wrongful death actions relating to  “non-seafarers” in territorial waters. </w:t>
            </w:r>
          </w:p>
          <w:p>
            <w:pPr>
              <w:pStyle w:val="Normal"/>
              <w:rPr/>
            </w:pPr>
            <w:r>
              <w:rPr/>
            </w:r>
          </w:p>
          <w:p>
            <w:pPr>
              <w:pStyle w:val="Normal"/>
              <w:numPr>
                <w:ilvl w:val="0"/>
                <w:numId w:val="2"/>
              </w:numPr>
              <w:rPr/>
            </w:pPr>
            <w:r>
              <w:rPr/>
              <w:t xml:space="preserve">The Puerto Rico Workmen’s Compensations Act (11 L.P.R.A. §§ 1 </w:t>
            </w:r>
            <w:r>
              <w:rPr>
                <w:u w:val="single"/>
              </w:rPr>
              <w:t>et</w:t>
            </w:r>
            <w:r>
              <w:rPr/>
              <w:t xml:space="preserve"> </w:t>
            </w:r>
            <w:r>
              <w:rPr>
                <w:u w:val="single"/>
              </w:rPr>
              <w:t>seq</w:t>
            </w:r>
            <w:r>
              <w:rPr/>
              <w:t>.) imposes liability on third parties in case of work-related accidents, disease or death.</w:t>
            </w:r>
          </w:p>
          <w:p>
            <w:pPr>
              <w:pStyle w:val="Normal"/>
              <w:rPr>
                <w:b/>
              </w:rPr>
            </w:pPr>
            <w:r>
              <w:rPr>
                <w:b/>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6</w:t>
              <w:tab/>
              <w:t xml:space="preserve">- </w:t>
            </w:r>
            <w:r>
              <w:rPr>
                <w:u w:val="single"/>
              </w:rPr>
              <w:t>Representative Responsibilities and Indemnity</w:t>
            </w:r>
          </w:p>
          <w:p>
            <w:pPr>
              <w:pStyle w:val="Normal"/>
              <w:rPr>
                <w:u w:val="single"/>
              </w:rPr>
            </w:pPr>
            <w:r>
              <w:rPr>
                <w:u w:val="single"/>
              </w:rPr>
            </w:r>
          </w:p>
          <w:p>
            <w:pPr>
              <w:pStyle w:val="Normal"/>
              <w:rPr/>
            </w:pPr>
            <w:r>
              <w:rPr/>
              <w:t>6.2</w:t>
              <w:tab/>
              <w:t>- Provides that the Shipowner shall act as a representative of the Vessel Interests and ensure compliance by the other Vessel Interests with the agreement.</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numPr>
                <w:ilvl w:val="0"/>
                <w:numId w:val="2"/>
              </w:numPr>
              <w:rPr/>
            </w:pPr>
            <w:r>
              <w:rPr/>
              <w:t>Without the COU, no assumption of responsibility.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6.3</w:t>
              <w:tab/>
              <w:t>- The Shipowner, the Charterer and the Operator agree to indemnify the LNG Interests on any claims made by non-signatory Vessel Interests or any third parties for which Vessel Interests are responsible under the agreement.</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Without the COU, no assumption of responsibility.</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7</w:t>
              <w:tab/>
              <w:t xml:space="preserve">- </w:t>
            </w:r>
            <w:r>
              <w:rPr>
                <w:u w:val="single"/>
              </w:rPr>
              <w:t>Pollution</w:t>
            </w:r>
          </w:p>
          <w:p>
            <w:pPr>
              <w:pStyle w:val="Normal"/>
              <w:rPr/>
            </w:pPr>
            <w:r>
              <w:rPr/>
            </w:r>
          </w:p>
          <w:p>
            <w:pPr>
              <w:pStyle w:val="Normal"/>
              <w:rPr/>
            </w:pPr>
            <w:r>
              <w:rPr/>
              <w:t>7.1</w:t>
              <w:tab/>
              <w:t>- Gives LNG Interests the right to take steps to clean up pollution.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b/>
              </w:rPr>
            </w:pPr>
            <w:r>
              <w:rPr/>
              <w:t>A private right of recovery is available under the Superfund law (42 U.S.C. § 9607 (a)(4)(B)), to recover “necessary costs of response.” Such costs must be “consistent with the national contingency plan….”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7.2</w:t>
              <w:tab/>
              <w:t xml:space="preserve">- Provides that the LNG Interests can recover such amounts from the Vessel Interests. </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u w:val="single"/>
              </w:rPr>
              <w:t>See</w:t>
            </w:r>
            <w:r>
              <w:rPr/>
              <w:t xml:space="preserve"> above.</w:t>
              <w:tab/>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8</w:t>
              <w:tab/>
              <w:t xml:space="preserve">- </w:t>
            </w:r>
            <w:r>
              <w:rPr>
                <w:u w:val="single"/>
              </w:rPr>
              <w:t>Wrecks</w:t>
            </w:r>
          </w:p>
          <w:p>
            <w:pPr>
              <w:pStyle w:val="Normal"/>
              <w:rPr/>
            </w:pPr>
            <w:r>
              <w:rPr/>
            </w:r>
          </w:p>
          <w:p>
            <w:pPr>
              <w:pStyle w:val="Normal"/>
              <w:rPr/>
            </w:pPr>
            <w:r>
              <w:rPr/>
              <w:t>8.1</w:t>
              <w:tab/>
              <w:t>- Provides that in case an LNG tanker sinks or grounds or otherwise becomes an obstruction (in the opinion of the LNG Interests), then the Vessel Interests have the obligation to remove the obstruction immediately.</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pPr>
            <w:r>
              <w:rPr/>
              <w:t>The Wreck Removal Act (33 U.S.C. §§ 409, 411, 412, 414 and 415) will apply.  The Wreck Removal Act gives the United States the right to remove an obstruction in case the owner  of the wrecked vessel fails to do so and bill the owner for such removal expenses.</w:t>
            </w:r>
          </w:p>
          <w:p>
            <w:pPr>
              <w:pStyle w:val="Normal"/>
              <w:rPr/>
            </w:pPr>
            <w:r>
              <w:rPr/>
            </w:r>
          </w:p>
          <w:p>
            <w:pPr>
              <w:pStyle w:val="Normal"/>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8.2</w:t>
              <w:tab/>
              <w:t>- If the Vessel Interests do not remove the obstruction immediately, then the LNG Interests can effect such removal at the expense of the Vessel Interests and will be able to recover removal costs from the Vessel Interests.</w:t>
            </w:r>
          </w:p>
        </w:tc>
        <w:tc>
          <w:tcPr>
            <w:tcW w:w="4788" w:type="dxa"/>
            <w:tcBorders>
              <w:top w:val="single" w:sz="4" w:space="0" w:color="000000"/>
              <w:start w:val="single" w:sz="4" w:space="0" w:color="000000"/>
              <w:bottom w:val="single" w:sz="4" w:space="0" w:color="000000"/>
              <w:end w:val="single" w:sz="4" w:space="0" w:color="000000"/>
            </w:tcBorders>
          </w:tcPr>
          <w:p>
            <w:pPr>
              <w:pStyle w:val="Normal"/>
              <w:ind w:hanging="372" w:start="372" w:end="0"/>
              <w:rPr>
                <w:i/>
                <w:i/>
                <w:u w:val="single"/>
              </w:rPr>
            </w:pPr>
            <w:r>
              <w:rPr/>
              <w:t>-</w:t>
              <w:tab/>
              <w:t>Through the COU, the LNG Interests acquired rights similar to those available to the United States under the statute.  Consequently, without the COU, the terminal/port operator (LNG Interests) will lose such rights (i.e., right to remove and be compensated).</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8.3</w:t>
              <w:tab/>
              <w:t>- Provides that under certain circumstances, the LNG Interests will be entitled to seek consequential damages from the Vessel Interests in accordance with NY tort law..</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u w:val="single"/>
              </w:rPr>
              <w:t>See</w:t>
            </w:r>
            <w:r>
              <w:rPr/>
              <w:t xml:space="preserve"> Governing law section.  Similar remedies may be available under Puerto Rican law.</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9</w:t>
              <w:tab/>
              <w:t xml:space="preserve">- </w:t>
            </w:r>
            <w:r>
              <w:rPr>
                <w:u w:val="single"/>
              </w:rPr>
              <w:t>Waivers</w:t>
            </w:r>
          </w:p>
          <w:p>
            <w:pPr>
              <w:pStyle w:val="Normal"/>
              <w:rPr/>
            </w:pPr>
            <w:r>
              <w:rPr/>
            </w:r>
          </w:p>
          <w:p>
            <w:pPr>
              <w:pStyle w:val="Normal"/>
              <w:rPr/>
            </w:pPr>
            <w:r>
              <w:rPr/>
              <w:t>9.1(a)</w:t>
              <w:tab/>
              <w:t>- The section provides that, regardless of the fault or negligence on the part of the LNG Interests or the Vessel Interests, the LNG Interests waive any rights or claims under applicable law and regulation except for rights expressly preserved in the agreement or any rights of salvage.</w:t>
            </w:r>
          </w:p>
          <w:p>
            <w:pPr>
              <w:pStyle w:val="Normal"/>
              <w:rPr/>
            </w:pPr>
            <w:r>
              <w:rPr/>
            </w:r>
          </w:p>
          <w:p>
            <w:pPr>
              <w:pStyle w:val="Normal"/>
              <w:rPr/>
            </w:pPr>
            <w:r>
              <w:rPr/>
              <w:t>9.1(b)</w:t>
              <w:tab/>
              <w:t>- Vessel Interests waive any rights they otherwise may have against the LNG Interests and any entitlement to limit the liability with respect to an Incident.</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FootnoteText"/>
              <w:rPr/>
            </w:pPr>
            <w:r>
              <w:rPr/>
            </w:r>
          </w:p>
          <w:p>
            <w:pPr>
              <w:pStyle w:val="Normal"/>
              <w:numPr>
                <w:ilvl w:val="0"/>
                <w:numId w:val="2"/>
              </w:numPr>
              <w:rPr/>
            </w:pPr>
            <w:r>
              <w:rPr/>
              <w:t xml:space="preserve">Without the COU, rights identified pursuant to Sections 3, 4 and 5 may be available. </w:t>
            </w:r>
            <w:r>
              <w:rPr>
                <w:u w:val="single"/>
              </w:rPr>
              <w:t>See</w:t>
            </w:r>
            <w:r>
              <w:rPr/>
              <w:t xml:space="preserve"> discussion under Sections 3, 4 and 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Without the COU (Section 9.1(b) (ii)), the Shipowners’ Liability Act (46 U.S.C. §§ 181-189) will be available to the Ship Owner and Operator (but not to Charterer as protection under the statute does not extend to time or voyage charterer).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10</w:t>
              <w:tab/>
              <w:t xml:space="preserve">- </w:t>
            </w:r>
            <w:r>
              <w:rPr>
                <w:u w:val="single"/>
              </w:rPr>
              <w:t>Limits of Liability</w:t>
            </w:r>
          </w:p>
          <w:p>
            <w:pPr>
              <w:pStyle w:val="Normal"/>
              <w:rPr/>
            </w:pPr>
            <w:r>
              <w:rPr/>
            </w:r>
          </w:p>
          <w:p>
            <w:pPr>
              <w:pStyle w:val="Normal"/>
              <w:rPr/>
            </w:pPr>
            <w:r>
              <w:rPr/>
              <w:t>10.1</w:t>
              <w:tab/>
              <w:t>- Provides that the liability of the Vessel Interests shall be joint and several and limited to $300 million.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pPr>
            <w:r>
              <w:rPr/>
              <w:t>Without the COU, limits on liability will be governed by the Shipowners’ Liability Act. The statute provides that liability for certain claims may be limited to the “value of the interest of such owner in such vessel” (</w:t>
            </w:r>
            <w:r>
              <w:rPr>
                <w:u w:val="single"/>
              </w:rPr>
              <w:t>i.e.</w:t>
            </w:r>
            <w:r>
              <w:rPr/>
              <w:t>, the value at the termination of the voyage) and the “freight then pending”(</w:t>
            </w:r>
            <w:r>
              <w:rPr>
                <w:u w:val="single"/>
              </w:rPr>
              <w:t>i.e.</w:t>
            </w:r>
            <w:r>
              <w:rPr/>
              <w:t>, freight monies earned by the vessel owner during the voyage) (46 U.S.C. § 183 (a)). It is also important to note that under the  Limitation statute a shipowner can only limit its liability if it shows that the fault causing the loss occurred without its “privity or knowledge” ( 46 U.S.C. § 183 (a))</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10.2</w:t>
              <w:tab/>
              <w:t>- Provides that the liability of LNG Interests shall be joint and several and be limited to $300 million.</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No limit on liability on part of the terminal/port operator (LNG Interests).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11</w:t>
              <w:tab/>
              <w:t xml:space="preserve">- </w:t>
            </w:r>
            <w:r>
              <w:rPr>
                <w:u w:val="single"/>
              </w:rPr>
              <w:t>P &amp; I Insurance</w:t>
            </w:r>
          </w:p>
          <w:p>
            <w:pPr>
              <w:pStyle w:val="Normal"/>
              <w:rPr/>
            </w:pPr>
            <w:r>
              <w:rPr/>
            </w:r>
          </w:p>
          <w:p>
            <w:pPr>
              <w:pStyle w:val="Normal"/>
              <w:rPr/>
            </w:pPr>
            <w:r>
              <w:rPr/>
              <w:t>11.1</w:t>
              <w:tab/>
              <w:t>- Imposes on the Vessel Interests the duty to keep the LNG tanker fully entered with recognized P &amp; I Association.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sz w:val="26"/>
              </w:rPr>
            </w:pPr>
            <w:r>
              <w:rPr>
                <w:sz w:val="26"/>
              </w:rPr>
              <w:t>Section 6.2(b)(viii) of the LNG Sales Contract is substantively similar. It requires that “[t]he GAMMA and any Alternate LNG Tanker used by the Seller shall, at all times, be . . .adequately covered by all customary marine insurance policies including hull and machinery and protection and indemnity coverage…”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11.2</w:t>
              <w:tab/>
              <w:t>- Imposes on the Vessel Interests the duty to produce annually a copy of the Certificate of Entry and the duty to give LNG Interests prior notice of cancellation of the entry.</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sz w:val="26"/>
                <w:u w:val="single"/>
              </w:rPr>
              <w:t>See</w:t>
            </w:r>
            <w:r>
              <w:rPr>
                <w:sz w:val="26"/>
              </w:rPr>
              <w:t xml:space="preserve"> above.  Additional rights granted by the COU are procedural in nature and can be read-in to the obligations already imposed by Section 6.2(b)(viii) of the LNG Sales Contract.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11.3</w:t>
              <w:tab/>
              <w:t>- If the P &amp; I Association gives notice that the customary P &amp; I cover will no longer be provided, then (a) the Vessel Interests will notify the LNG Interests and (b) the LNG Interests shall be entitled to refuse entry for the LNG tanker to the port.</w:t>
            </w:r>
          </w:p>
        </w:tc>
        <w:tc>
          <w:tcPr>
            <w:tcW w:w="47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 xml:space="preserve">Without the COU, an express right to refuse entry to the LNG Tanker is missing. But, without customary P&amp;I coverage Seller (Cabot)  will be in breach of its obligations under the </w:t>
            </w:r>
            <w:r>
              <w:rPr>
                <w:sz w:val="26"/>
              </w:rPr>
              <w:t>LNG Sales Contract.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Section 12</w:t>
              <w:tab/>
              <w:t xml:space="preserve">- </w:t>
            </w:r>
            <w:r>
              <w:rPr>
                <w:u w:val="single"/>
              </w:rPr>
              <w:t>Waiver of Subrogation</w:t>
            </w:r>
          </w:p>
          <w:p>
            <w:pPr>
              <w:pStyle w:val="Normal"/>
              <w:rPr/>
            </w:pPr>
            <w:r>
              <w:rPr/>
            </w:r>
          </w:p>
          <w:p>
            <w:pPr>
              <w:pStyle w:val="Normal"/>
              <w:rPr/>
            </w:pPr>
            <w:r>
              <w:rPr/>
              <w:tab/>
              <w:t>- States that all insurance policies obtained by the Vessel Interests with respect to the LNG tanker will contain a waiver in favor of the LNG Interests of rights of subrogation of claims by the insurer against the LNG Interests.</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numPr>
                <w:ilvl w:val="0"/>
                <w:numId w:val="2"/>
              </w:numPr>
              <w:rPr/>
            </w:pPr>
            <w:r>
              <w:rPr/>
              <w:t>Without the COU  to provide a waiver of subrogation, the insurers will have rights of subrogation against the LNG Interests.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13</w:t>
              <w:tab/>
              <w:t xml:space="preserve">- </w:t>
            </w:r>
            <w:r>
              <w:rPr>
                <w:u w:val="single"/>
              </w:rPr>
              <w:t>Governing Law</w:t>
            </w:r>
          </w:p>
          <w:p>
            <w:pPr>
              <w:pStyle w:val="Normal"/>
              <w:rPr/>
            </w:pPr>
            <w:r>
              <w:rPr/>
            </w:r>
          </w:p>
          <w:p>
            <w:pPr>
              <w:pStyle w:val="Normal"/>
              <w:rPr/>
            </w:pPr>
            <w:r>
              <w:rPr/>
              <w:tab/>
              <w:t>- The agreement is governed by the laws of New York and the laws of the United States of America to the extent applicable.</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pPr>
            <w:r>
              <w:rPr/>
              <w:t xml:space="preserve">Without the COU, in addition to general maritime law (federal common law), applicable federal statutes and regulations,  Puerto Rican law will govern the rights and obligations of the parties. Substantial research would be required to identify the exact implications of application of  Puerto Rican law.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Section 14</w:t>
              <w:tab/>
              <w:t xml:space="preserve">- </w:t>
            </w:r>
            <w:r>
              <w:rPr>
                <w:u w:val="single"/>
              </w:rPr>
              <w:t>Arbitration</w:t>
            </w:r>
          </w:p>
          <w:p>
            <w:pPr>
              <w:pStyle w:val="Normal"/>
              <w:rPr/>
            </w:pPr>
            <w:r>
              <w:rPr/>
            </w:r>
          </w:p>
          <w:p>
            <w:pPr>
              <w:pStyle w:val="Normal"/>
              <w:rPr/>
            </w:pPr>
            <w:r>
              <w:rPr/>
              <w:tab/>
              <w:t>- Provides for AAA and UNCITRAL arbitration.</w:t>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numPr>
                <w:ilvl w:val="0"/>
                <w:numId w:val="2"/>
              </w:numPr>
              <w:rPr/>
            </w:pPr>
            <w:r>
              <w:rPr/>
              <w:t>Without the COU, an action may be brought in any court that has or is perceived to have jurisdiction.</w:t>
            </w:r>
          </w:p>
        </w:tc>
      </w:tr>
    </w:tbl>
    <w:p>
      <w:pPr>
        <w:pStyle w:val="Normal"/>
        <w:numPr>
          <w:ilvl w:val="0"/>
          <w:numId w:val="2"/>
        </w:numPr>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Arfox Draft</w:t>
    </w:r>
  </w:p>
  <w:p>
    <w:pPr>
      <w:pStyle w:val="Header"/>
      <w:jc w:val="end"/>
      <w:rPr>
        <w:b/>
        <w:i/>
        <w:i/>
        <w:sz w:val="20"/>
      </w:rPr>
    </w:pPr>
    <w:r>
      <w:rPr>
        <w:b/>
        <w:i/>
        <w:sz w:val="20"/>
      </w:rPr>
      <w:t>6th July 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Cs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2000-07-06T12:30:00Z</dcterms:created>
  <dc:creator>Julie Hranicky</dc:creator>
  <dc:description/>
  <dc:language>en-CA</dc:language>
  <cp:lastModifiedBy>LAW FIRM</cp:lastModifiedBy>
  <cp:lastPrinted>2000-07-06T12:15:00Z</cp:lastPrinted>
  <dcterms:modified xsi:type="dcterms:W3CDTF">2000-07-06T13:50:00Z</dcterms:modified>
  <cp:revision>4</cp:revision>
  <dc:subject/>
  <dc:title>DRAFT OUTLINE </dc:title>
</cp:coreProperties>
</file>