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t xml:space="preserve">COMM-OPINION-ORDER, 86 FERC ¶61,213, </w:t>
      </w:r>
      <w:r>
        <w:rPr>
          <w:rFonts w:ascii="Times New Roman" w:hAnsi="Times New Roman"/>
          <w:b/>
          <w:sz w:val="24"/>
        </w:rPr>
        <w:t>Williams Natural Gas Company, Docket Nos. CP97-706-001 and CP97-706-000</w:t>
      </w:r>
      <w:r>
        <w:rPr>
          <w:rFonts w:ascii="Times New Roman" w:hAnsi="Times New Roman"/>
          <w:sz w:val="24"/>
        </w:rPr>
        <w:t>, (Mar. 01,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b/>
          <w:sz w:val="24"/>
        </w:rPr>
      </w:pPr>
      <w:r>
        <w:rPr>
          <w:rFonts w:ascii="Times New Roman" w:hAnsi="Times New Roman"/>
          <w:b/>
          <w:sz w:val="24"/>
        </w:rPr>
        <w:t>Williams Natural Gas Company, Docket Nos. CP97-706-001 and CP97-706-000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b/>
          <w:sz w:val="24"/>
        </w:rPr>
      </w:pPr>
      <w:r>
        <w:rPr>
          <w:rFonts w:ascii="Times New Roman" w:hAnsi="Times New Roman"/>
          <w:b/>
          <w:sz w:val="24"/>
        </w:rPr>
        <w:t>[61,756]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b/>
          <w:sz w:val="24"/>
        </w:rPr>
      </w:pPr>
      <w:r>
        <w:rPr>
          <w:rFonts w:ascii="Times New Roman" w:hAnsi="Times New Roman"/>
          <w:b/>
          <w:sz w:val="24"/>
        </w:rPr>
        <w:t>[¶61,213]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 xml:space="preserve"> </w:t>
      </w:r>
    </w:p>
    <w:p>
      <w:pPr>
        <w:pStyle w:val="Normal"/>
        <w:tabs>
          <w:tab w:val="clear" w:pos="720"/>
          <w:tab w:val="left" w:pos="-480" w:leader="none"/>
          <w:tab w:val="left" w:pos="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s>
        <w:bidi w:val="0"/>
        <w:spacing w:lineRule="atLeast" w:line="0"/>
        <w:ind w:hanging="480" w:start="480"/>
        <w:jc w:val="start"/>
        <w:rPr>
          <w:rFonts w:ascii="Times New Roman" w:hAnsi="Times New Roman"/>
          <w:b/>
          <w:sz w:val="24"/>
        </w:rPr>
      </w:pPr>
      <w:r>
        <w:rPr>
          <w:rFonts w:ascii="Times New Roman" w:hAnsi="Times New Roman"/>
          <w:b/>
          <w:sz w:val="24"/>
        </w:rPr>
        <w:t>Williams Natural Gas Company, Docket Nos. CP97-706-001 and CP97-706-000</w:t>
      </w:r>
    </w:p>
    <w:p>
      <w:pPr>
        <w:pStyle w:val="Normal"/>
        <w:tabs>
          <w:tab w:val="clear" w:pos="720"/>
          <w:tab w:val="left" w:pos="-480" w:leader="none"/>
          <w:tab w:val="left" w:pos="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s>
        <w:bidi w:val="0"/>
        <w:spacing w:lineRule="atLeast" w:line="0"/>
        <w:ind w:hanging="480" w:start="480"/>
        <w:jc w:val="start"/>
        <w:rPr>
          <w:rFonts w:ascii="Times New Roman" w:hAnsi="Times New Roman"/>
          <w:sz w:val="24"/>
        </w:rPr>
      </w:pPr>
      <w:r>
        <w:rPr>
          <w:rFonts w:ascii="Times New Roman" w:hAnsi="Times New Roman"/>
          <w:sz w:val="24"/>
        </w:rPr>
        <w:t xml:space="preserve"> </w:t>
      </w:r>
    </w:p>
    <w:p>
      <w:pPr>
        <w:pStyle w:val="Normal"/>
        <w:tabs>
          <w:tab w:val="clear" w:pos="720"/>
          <w:tab w:val="left" w:pos="-480" w:leader="none"/>
          <w:tab w:val="left" w:pos="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s>
        <w:bidi w:val="0"/>
        <w:spacing w:lineRule="atLeast" w:line="0"/>
        <w:ind w:hanging="480" w:start="480"/>
        <w:jc w:val="start"/>
        <w:rPr>
          <w:rFonts w:ascii="Times New Roman" w:hAnsi="Times New Roman"/>
          <w:b/>
          <w:sz w:val="24"/>
        </w:rPr>
      </w:pPr>
      <w:r>
        <w:rPr>
          <w:rFonts w:ascii="Times New Roman" w:hAnsi="Times New Roman"/>
          <w:b/>
          <w:sz w:val="24"/>
        </w:rPr>
        <w:t>Order Directing Further Filing and Authorizing Operation of Facilities</w:t>
      </w:r>
    </w:p>
    <w:p>
      <w:pPr>
        <w:pStyle w:val="Normal"/>
        <w:tabs>
          <w:tab w:val="clear" w:pos="720"/>
          <w:tab w:val="left" w:pos="-480" w:leader="none"/>
          <w:tab w:val="left" w:pos="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s>
        <w:bidi w:val="0"/>
        <w:spacing w:lineRule="atLeast" w:line="0"/>
        <w:ind w:hanging="48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480"/>
        <w:jc w:val="start"/>
        <w:rPr>
          <w:rFonts w:ascii="Times New Roman" w:hAnsi="Times New Roman"/>
          <w:b/>
          <w:sz w:val="24"/>
        </w:rPr>
      </w:pPr>
      <w:r>
        <w:rPr>
          <w:rFonts w:ascii="Times New Roman" w:hAnsi="Times New Roman"/>
          <w:b/>
          <w:sz w:val="24"/>
        </w:rPr>
        <w:t>(Issued March 1,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480"/>
        <w:jc w:val="start"/>
        <w:rPr>
          <w:rFonts w:ascii="Times New Roman" w:hAnsi="Times New Roman"/>
          <w:sz w:val="24"/>
        </w:rPr>
      </w:pPr>
      <w:r>
        <w:rPr>
          <w:rFonts w:ascii="Times New Roman" w:hAnsi="Times New Roman"/>
          <w:sz w:val="24"/>
        </w:rPr>
        <w:t xml:space="preserve"> </w:t>
      </w:r>
    </w:p>
    <w:p>
      <w:pPr>
        <w:pStyle w:val="Normal"/>
        <w:tabs>
          <w:tab w:val="clear" w:pos="720"/>
          <w:tab w:val="left" w:pos="-480" w:leader="none"/>
          <w:tab w:val="left" w:pos="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s>
        <w:bidi w:val="0"/>
        <w:spacing w:lineRule="atLeast" w:line="0"/>
        <w:ind w:hanging="480" w:start="480"/>
        <w:jc w:val="start"/>
        <w:rPr>
          <w:rFonts w:ascii="Times New Roman" w:hAnsi="Times New Roman"/>
          <w:b/>
          <w:sz w:val="24"/>
        </w:rPr>
      </w:pPr>
      <w:r>
        <w:rPr>
          <w:rFonts w:ascii="Times New Roman" w:hAnsi="Times New Roman"/>
          <w:b/>
          <w:sz w:val="24"/>
        </w:rPr>
        <w:t>Before Commissioners: James J. Hoecker, Chairman; Vicky A. Bailey, William L. Massey, Linda Breathitt, and Curt Hébert, Jr.</w:t>
      </w:r>
    </w:p>
    <w:p>
      <w:pPr>
        <w:pStyle w:val="Normal"/>
        <w:tabs>
          <w:tab w:val="clear" w:pos="720"/>
          <w:tab w:val="left" w:pos="-480" w:leader="none"/>
          <w:tab w:val="left" w:pos="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s>
        <w:bidi w:val="0"/>
        <w:spacing w:lineRule="atLeast" w:line="0"/>
        <w:ind w:hanging="48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On November 18, 1997, the Commission issued an order in Docket No. CP97-706-000, </w:t>
      </w:r>
      <w:r>
        <w:rPr>
          <w:rFonts w:ascii="Times New Roman" w:hAnsi="Times New Roman"/>
          <w:sz w:val="24"/>
          <w:vertAlign w:val="superscript"/>
        </w:rPr>
        <w:t>1</w:t>
      </w:r>
      <w:r>
        <w:rPr>
          <w:rFonts w:ascii="Times New Roman" w:hAnsi="Times New Roman"/>
          <w:sz w:val="24"/>
        </w:rPr>
        <w:t xml:space="preserve"> directing Williams Natural Gas Company (WNG) and Cotton Valley Compression, L.L.C. (Cotton Valley) to show cause why the Commission should not find (1) that they had violated the Natural Gas Policy Act (NGPA) and the Natural Gas Act (NGA), and (2) that Cotton Valley should be required to seek Commission approval under Section 7 of the NGA prior to engaging in further jurisdictional service. On December 18, 1997, WNG and Cotton Valley filed a joint answer responding to the show cause directives of the November 18 order.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Based on our review of that pleading and all evidence submitted in this proceeding, we hold that Cotton Valley has acted in violation of the NGPA and the NGA, and is required, within thirty days from the issuance of a final order in this proceeding, to apply for limited certificate authorization, under Section 7(c) of the NGA and Part 157 of the regulations, to continue utilizing the facilities for the transportation of gas in interstate commerce or to cease operating those facilities. We also hold that, based on the record before us, there is not enough evidence to conclude that WNG engaged in either NGPA or NGA violations.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i/>
          <w:i/>
          <w:sz w:val="24"/>
        </w:rPr>
      </w:pPr>
      <w:r>
        <w:rPr>
          <w:rFonts w:ascii="Times New Roman" w:hAnsi="Times New Roman"/>
          <w:i/>
          <w:sz w:val="24"/>
        </w:rPr>
        <w:t>Background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i/>
          <w:i/>
          <w:sz w:val="24"/>
        </w:rPr>
      </w:pPr>
      <w:r>
        <w:rPr>
          <w:rFonts w:ascii="Times New Roman" w:hAnsi="Times New Roman"/>
          <w:sz w:val="24"/>
        </w:rPr>
        <w:t xml:space="preserve">A. </w:t>
      </w:r>
      <w:r>
        <w:rPr>
          <w:rFonts w:ascii="Times New Roman" w:hAnsi="Times New Roman"/>
          <w:i/>
          <w:sz w:val="24"/>
        </w:rPr>
        <w:t>WNG’s prior notice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In a prior notice request filed in Docket No. CP97-706-000 on August 22, 1997, WNG sought authorization to utilize, for NGA Section 7 purposes, a tap, orifice meter, and appurtenant facilities located in Washington County, Oklahoma, that were stated to have been constructed pursuant to Section 311 of the NGPA. </w:t>
      </w:r>
      <w:r>
        <w:rPr>
          <w:rFonts w:ascii="Times New Roman" w:hAnsi="Times New Roman"/>
          <w:sz w:val="24"/>
          <w:vertAlign w:val="superscript"/>
        </w:rPr>
        <w:t>2</w:t>
      </w:r>
      <w:r>
        <w:rPr>
          <w:rFonts w:ascii="Times New Roman" w:hAnsi="Times New Roman"/>
          <w:sz w:val="24"/>
        </w:rPr>
        <w:t xml:space="preserve"> Through such facilities, WNG proposed to deliver gas from its 16-inch, low pressure Hogshooter Interstate Pipeline (Hogshooter Line) to Cotton Valley, a purported intrastate pipeline company formed by a </w:t>
      </w:r>
    </w:p>
    <w:p>
      <w:pPr>
        <w:sectPr>
          <w:type w:val="nextPage"/>
          <w:pgSz w:w="12240" w:h="15840"/>
          <w:pgMar w:left="1440" w:right="1440" w:gutter="0" w:header="0" w:top="1440" w:footer="0" w:bottom="1440"/>
          <w:pgNumType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480"/>
        <w:jc w:val="start"/>
        <w:rPr>
          <w:rFonts w:ascii="Times New Roman" w:hAnsi="Times New Roman"/>
          <w:sz w:val="24"/>
          <w:vertAlign w:val="superscript"/>
        </w:rPr>
      </w:pPr>
      <w:r>
        <w:rPr>
          <w:rFonts w:ascii="Times New Roman" w:hAnsi="Times New Roman"/>
          <w:sz w:val="24"/>
        </w:rPr>
        <w:t xml:space="preserve">group of producers. Cotton Valley claims it would receive the gas from WNG, and move it, pursuant to Section 311(a)(2), through its own compression facilities to allow redelivery into WNG’s 16-inch high pressure Quapaw Line downstream of WNG’s Cotton Valley Compressor Station. </w:t>
      </w:r>
      <w:r>
        <w:rPr>
          <w:rFonts w:ascii="Times New Roman" w:hAnsi="Times New Roman"/>
          <w:sz w:val="24"/>
          <w:vertAlign w:val="superscript"/>
        </w:rPr>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i/>
          <w:i/>
          <w:sz w:val="24"/>
        </w:rPr>
      </w:pPr>
      <w:r>
        <w:rPr>
          <w:rFonts w:ascii="Times New Roman" w:hAnsi="Times New Roman"/>
          <w:sz w:val="24"/>
        </w:rPr>
        <w:t>B.</w:t>
      </w:r>
      <w:r>
        <w:rPr>
          <w:rFonts w:ascii="Times New Roman" w:hAnsi="Times New Roman"/>
          <w:i/>
          <w:sz w:val="24"/>
        </w:rPr>
        <w:t xml:space="preserve"> Staff’s and Exoko’s protests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vertAlign w:val="superscript"/>
        </w:rPr>
      </w:pPr>
      <w:r>
        <w:rPr>
          <w:rFonts w:ascii="Times New Roman" w:hAnsi="Times New Roman"/>
          <w:sz w:val="24"/>
        </w:rPr>
        <w:t xml:space="preserve">Protests filed both by the Commission staff and Exoko L.L.C. (Exoko), an independent producer, expressed concern that the transportation of gas through the proposed facilities never qualified as NGPA transportation “on behalf of” a qualifying entity. The protests stated that neither WNG nor Cotton Valley claim that Cotton Valley is a local distribution company, or adequately demonstrate that Cotton Valley is an “intrastate pipeline” within the meaning of Section 2(16) of the NGPA. </w:t>
      </w:r>
      <w:r>
        <w:rPr>
          <w:rFonts w:ascii="Times New Roman" w:hAnsi="Times New Roman"/>
          <w:sz w:val="24"/>
          <w:vertAlign w:val="superscript"/>
        </w:rPr>
        <w:t>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In addition, Exoko stated that WNG has discriminated against Exoko by denying it access to the Hogshooter line and is using Cotton Valley to perform jurisdictional services which Exoko would be able to use </w:t>
      </w:r>
      <w:r>
        <w:rPr>
          <w:rFonts w:ascii="Times New Roman" w:hAnsi="Times New Roman"/>
          <w:i/>
          <w:sz w:val="24"/>
        </w:rPr>
        <w:t>via</w:t>
      </w:r>
      <w:r>
        <w:rPr>
          <w:rFonts w:ascii="Times New Roman" w:hAnsi="Times New Roman"/>
          <w:sz w:val="24"/>
        </w:rPr>
        <w:t xml:space="preserve"> an open season if WNG, not Cotton Valley, had installed the compression.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i/>
          <w:i/>
          <w:sz w:val="24"/>
        </w:rPr>
      </w:pPr>
      <w:r>
        <w:rPr>
          <w:rFonts w:ascii="Times New Roman" w:hAnsi="Times New Roman"/>
          <w:sz w:val="24"/>
        </w:rPr>
        <w:t>C.</w:t>
      </w:r>
      <w:r>
        <w:rPr>
          <w:rFonts w:ascii="Times New Roman" w:hAnsi="Times New Roman"/>
          <w:i/>
          <w:sz w:val="24"/>
        </w:rPr>
        <w:t xml:space="preserve"> The November 18 order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b/>
          <w:sz w:val="24"/>
        </w:rPr>
      </w:pPr>
      <w:r>
        <w:rPr>
          <w:rFonts w:ascii="Times New Roman" w:hAnsi="Times New Roman"/>
          <w:b/>
          <w:sz w:val="24"/>
        </w:rPr>
        <w:t>[61,757]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In the November 18 show cause order, the Commission held that while Section 311 permits an existing interstate pipeline to transport natural gas in interstate commerce on behalf of either an intrastate pipeline or a local distribution company, WNG failed to show that Cotton Valley is an intrastate pipeline as claimed. Thus, the Commission directed Cotton Valley to show cause why the Commission should not find (1) that it has violated the NGPA and the NGA, and (2) that Cotton Valley should be required to seek Commission approval under Section 7 of the NGA prior to engaging in further jurisdictional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In addition, the Commission required WNG to show how it has complied with Section 284.102(e) of the Commission’s regulations that requires an interstate pipeline to obtain appropriate certification that the “on behalf of entity” qualifies under the regulations prior to commencing service. The Commission also directed WNG to include in its filing a response to Exoko’s allegations of discriminatory treatment.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On December 12, 1997, Amoco Production Company and Amoco Energy Trading Corporation (collectively referred to as “the Amoco Group”) filed a joint, untimely motion to intervene. The Amoco Group states that until the issuance of the November 18 order, it had not fully understood the manner in which the subject facilities operated. Now that it understands how those facilities are operated, the Amoco Group states, it has an interest in ensuring the consistent application of Commission policy expressed in </w:t>
      </w:r>
      <w:r>
        <w:rPr>
          <w:rFonts w:ascii="Times New Roman" w:hAnsi="Times New Roman"/>
          <w:i/>
          <w:sz w:val="24"/>
        </w:rPr>
        <w:t>Trunkline</w:t>
      </w:r>
      <w:r>
        <w:rPr>
          <w:rFonts w:ascii="Times New Roman" w:hAnsi="Times New Roman"/>
          <w:sz w:val="24"/>
        </w:rPr>
        <w:t xml:space="preserve">, </w:t>
      </w:r>
      <w:r>
        <w:rPr>
          <w:rFonts w:ascii="Times New Roman" w:hAnsi="Times New Roman"/>
          <w:sz w:val="24"/>
          <w:vertAlign w:val="superscript"/>
        </w:rPr>
        <w:t>5</w:t>
      </w:r>
      <w:r>
        <w:rPr>
          <w:rFonts w:ascii="Times New Roman" w:hAnsi="Times New Roman"/>
          <w:sz w:val="24"/>
        </w:rPr>
        <w:t xml:space="preserve"> which the Amoco Group describes as finding that nonjurisdictional facilities may not be located downstream of jurisdictional transmission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We will grant the late motion. Granting the motion will not prejudice any party or unduly delay the proceedings. Accordingly, the late motion to intervene is granted, for good cause shown, pursuant to Rule 214 of the Commission’s Rules of Practice and Procedures (18 C.F.R. §214).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On January 6, 1998, Exoko filed a reply to WNG’s answer. While answers to answers are not permitted under our rules, </w:t>
      </w:r>
      <w:r>
        <w:rPr>
          <w:rFonts w:ascii="Times New Roman" w:hAnsi="Times New Roman"/>
          <w:sz w:val="24"/>
          <w:vertAlign w:val="superscript"/>
        </w:rPr>
        <w:t>6</w:t>
      </w:r>
      <w:r>
        <w:rPr>
          <w:rFonts w:ascii="Times New Roman" w:hAnsi="Times New Roman"/>
          <w:sz w:val="24"/>
        </w:rPr>
        <w:t xml:space="preserve"> we may, for good cause, waive a rule. </w:t>
      </w:r>
      <w:r>
        <w:rPr>
          <w:rFonts w:ascii="Times New Roman" w:hAnsi="Times New Roman"/>
          <w:sz w:val="24"/>
          <w:vertAlign w:val="superscript"/>
        </w:rPr>
        <w:t>7</w:t>
      </w:r>
      <w:r>
        <w:rPr>
          <w:rFonts w:ascii="Times New Roman" w:hAnsi="Times New Roman"/>
          <w:sz w:val="24"/>
        </w:rPr>
        <w:t xml:space="preserve"> In order to develop a complete record in this proceeding, we will waive Rule 213 of the Commission’s Rules of Practice and Procedure and accept Exoko’s reply to WNG’s answer.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Exoko states that instead of providing the needed capacity and/or compression on its Hogshooter system, WNG encouraged a few producers to form Cotton Valley, which would bear the cost of compression as a condition for exclusive transportation of its volumes on the Hogshooter system. Exoko contends that without notice to Exoko and others similarly situated, WNG entered into firm transportation arrangements with Cotton Valley and/or its members. Exoko also states that it was excluded from membership in Cotton Valley.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WNG denies that it refused to provide Exoko access to the Hogshooter line. WNG asserts that Exoko has never delivered any gas to the Hogshooter line under a contract of its own or under someone else’s contract. WNG says it has provided a transportation agreement to Exoko, but Exoko has failed to submit a firm transportation request accompanied by an earnest money deposit pursuant to the provisions set forth in Article VIII of the General Terms and Conditions of WNG’s tariff. WNG also contends that Exoko has not demonstrated that it is able to deliver gas through the Hogshooter Line in Oklahoma, because its ownership interest and rights in certain producer-owned gas are being litigated in the U.S. District Court for the Northern District of Oklahoma.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Exoko asks that a technical conference be convened to address the issues and/or concerns raised in this proceeding. WNG and Cotton Valley state that they support Exoko’s request. They state that a technical conference will permit all issues to be addressed and permit the parties to address any alternatives available to them.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i/>
          <w:i/>
          <w:sz w:val="24"/>
        </w:rPr>
      </w:pPr>
      <w:r>
        <w:rPr>
          <w:rFonts w:ascii="Times New Roman" w:hAnsi="Times New Roman"/>
          <w:i/>
          <w:sz w:val="24"/>
        </w:rPr>
        <w:t>Discussion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At the outset, because we will address all of the issues and/or concerns raised in this proceeding, we will deny the motions to convene a technical conference.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Based on the present record, we cannot find that the refusal to serve Exoko is unreasonable. A pipeline has the right to establish reasonable operating conditions. </w:t>
      </w:r>
      <w:r>
        <w:rPr>
          <w:rFonts w:ascii="Times New Roman" w:hAnsi="Times New Roman"/>
          <w:sz w:val="24"/>
          <w:vertAlign w:val="superscript"/>
        </w:rPr>
        <w:t>8</w:t>
      </w:r>
      <w:r>
        <w:rPr>
          <w:rFonts w:ascii="Times New Roman" w:hAnsi="Times New Roman"/>
          <w:sz w:val="24"/>
        </w:rPr>
        <w:t xml:space="preserve"> In our view, the requirement of WNG’s tariff that nominations must be confirmed prior to providing transportation service is a reasonable operating condition. In addition, WNG’s and Cotton Valley’s concern over the legal uncertainty of Exoko’s ownership interest in the gas it seeks to flow through the Hogshooter Line is a legitimate concern and may form a basis (absent evidence to the contrary)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b/>
          <w:sz w:val="24"/>
        </w:rPr>
      </w:pPr>
      <w:r>
        <w:rPr>
          <w:rFonts w:ascii="Times New Roman" w:hAnsi="Times New Roman"/>
          <w:b/>
          <w:sz w:val="24"/>
        </w:rPr>
        <w:t>[61,758]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for refusal to serve. Further, Exoko has not demonstrated that WNG or Cotton Valley has offered to provide transportation service to Exoko under terms different than those offered to other similarly situated producers. Accordingly, we will reject Exoko’s undue discrimination claim regarding WNG’s or Cotton Valley’s refusal to serve.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The November 18 order required Cotton Valley to show cause 1) why no violations of the NGA or the NGPA have occurred, and 2) why Cotton Valley should not be required to obtain certificate authority to continue operation of its facilities. The record is straightforward on both issues.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Cotton Valley claims that its services are non-jurisdictional, relying on </w:t>
      </w:r>
      <w:r>
        <w:rPr>
          <w:rFonts w:ascii="Times New Roman" w:hAnsi="Times New Roman"/>
          <w:i/>
          <w:sz w:val="24"/>
        </w:rPr>
        <w:t>GPM Gas Corporation v. Continental Natural Gas, Inc.</w:t>
      </w:r>
      <w:r>
        <w:rPr>
          <w:rFonts w:ascii="Times New Roman" w:hAnsi="Times New Roman"/>
          <w:sz w:val="24"/>
        </w:rPr>
        <w:t xml:space="preserve"> (</w:t>
      </w:r>
      <w:r>
        <w:rPr>
          <w:rFonts w:ascii="Times New Roman" w:hAnsi="Times New Roman"/>
          <w:i/>
          <w:sz w:val="24"/>
        </w:rPr>
        <w:t>GPM</w:t>
      </w:r>
      <w:r>
        <w:rPr>
          <w:rFonts w:ascii="Times New Roman" w:hAnsi="Times New Roman"/>
          <w:sz w:val="24"/>
        </w:rPr>
        <w:t xml:space="preserve">). </w:t>
      </w:r>
      <w:r>
        <w:rPr>
          <w:rFonts w:ascii="Times New Roman" w:hAnsi="Times New Roman"/>
          <w:sz w:val="24"/>
          <w:vertAlign w:val="superscript"/>
        </w:rPr>
        <w:t>9</w:t>
      </w:r>
      <w:r>
        <w:rPr>
          <w:rFonts w:ascii="Times New Roman" w:hAnsi="Times New Roman"/>
          <w:sz w:val="24"/>
        </w:rPr>
        <w:t xml:space="preserve"> In that case, Cotton Valley states, the Commission determined that facilities which permit a party to move gas from one interstate pipeline to another are not subject to the Commission’s jurisdiction. Cotton Valley submits that the only difference between it and Continental Natural Gas, Inc. (Continental) in the </w:t>
      </w:r>
      <w:r>
        <w:rPr>
          <w:rFonts w:ascii="Times New Roman" w:hAnsi="Times New Roman"/>
          <w:i/>
          <w:sz w:val="24"/>
        </w:rPr>
        <w:t>GPM</w:t>
      </w:r>
      <w:r>
        <w:rPr>
          <w:rFonts w:ascii="Times New Roman" w:hAnsi="Times New Roman"/>
          <w:sz w:val="24"/>
        </w:rPr>
        <w:t xml:space="preserve"> proceeding is that Cotton Valley (unlike Continental) does not process the gas. In both cases, Cotton Valley states, the facilities (1) compress and move gas between pipelines, which is a practical and economical way to move gas, and (2) are owned by a group of small producers whose business is exploration, production and marketing.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vertAlign w:val="superscript"/>
        </w:rPr>
      </w:pPr>
      <w:r>
        <w:rPr>
          <w:rFonts w:ascii="Times New Roman" w:hAnsi="Times New Roman"/>
          <w:sz w:val="24"/>
        </w:rPr>
        <w:t xml:space="preserve">Cotton Valley’s argument is not persuasive. In </w:t>
      </w:r>
      <w:r>
        <w:rPr>
          <w:rFonts w:ascii="Times New Roman" w:hAnsi="Times New Roman"/>
          <w:i/>
          <w:sz w:val="24"/>
        </w:rPr>
        <w:t>GPM</w:t>
      </w:r>
      <w:r>
        <w:rPr>
          <w:rFonts w:ascii="Times New Roman" w:hAnsi="Times New Roman"/>
          <w:sz w:val="24"/>
        </w:rPr>
        <w:t xml:space="preserve">, the issue was whether GPM had compromised its nonjurisdictional status as a gatherer and operator of a processing plant by use of an inlet line connecting an interstate pipeline to Continental’s non-jurisdictional processing plant. After analysis of all the various aspects of that non-jurisdictional service, the Commission found that it had not. </w:t>
      </w:r>
      <w:r>
        <w:rPr>
          <w:rFonts w:ascii="Times New Roman" w:hAnsi="Times New Roman"/>
          <w:sz w:val="24"/>
          <w:vertAlign w:val="superscript"/>
        </w:rPr>
        <w:t>10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i/>
          <w:i/>
          <w:sz w:val="24"/>
        </w:rPr>
      </w:pPr>
      <w:r>
        <w:rPr>
          <w:rFonts w:ascii="Times New Roman" w:hAnsi="Times New Roman"/>
          <w:sz w:val="24"/>
        </w:rPr>
        <w:t xml:space="preserve">Unlike </w:t>
      </w:r>
      <w:r>
        <w:rPr>
          <w:rFonts w:ascii="Times New Roman" w:hAnsi="Times New Roman"/>
          <w:i/>
          <w:sz w:val="24"/>
        </w:rPr>
        <w:t>GPM</w:t>
      </w:r>
      <w:r>
        <w:rPr>
          <w:rFonts w:ascii="Times New Roman" w:hAnsi="Times New Roman"/>
          <w:sz w:val="24"/>
        </w:rPr>
        <w:t xml:space="preserve">, this case does not involve gathering. In this case, the compression provided by Cotton Valley is an integral part of the process of continuing the transmission of gas from WNG’s Hogshooter line to WNG’s Quapaw line and to the interstate markets beyond. Cotton Valley exists to compress gas and thereby assist in the movement of gas in interstate commerce. </w:t>
      </w:r>
      <w:r>
        <w:rPr>
          <w:rFonts w:ascii="Times New Roman" w:hAnsi="Times New Roman"/>
          <w:sz w:val="24"/>
          <w:vertAlign w:val="superscript"/>
        </w:rPr>
        <w:t>11</w:t>
      </w:r>
      <w:r>
        <w:rPr>
          <w:rFonts w:ascii="Times New Roman" w:hAnsi="Times New Roman"/>
          <w:sz w:val="24"/>
        </w:rPr>
        <w:t xml:space="preserve"> No specific non-jurisdictional service is offered by Cotton Valley. The gas enters Cotton Valley’s facilities from WNG’s interstate Hogshooter Line and is compressed for redelivery into WNG’s interstate Quapaw Line. Indeed, WNG states that such gas cannot be compressed in the nearby WNG compression facility for redelivery into the adjoining WNG interstate Quapaw Line because that compression facility was not designed to accomplish such a task. </w:t>
      </w:r>
      <w:r>
        <w:rPr>
          <w:rFonts w:ascii="Times New Roman" w:hAnsi="Times New Roman"/>
          <w:sz w:val="24"/>
          <w:vertAlign w:val="superscript"/>
        </w:rPr>
        <w:t>12</w:t>
      </w:r>
      <w:r>
        <w:rPr>
          <w:rFonts w:ascii="Times New Roman" w:hAnsi="Times New Roman"/>
          <w:sz w:val="24"/>
        </w:rPr>
        <w:t xml:space="preserve"> The respondents note also that the WNG compression facility can only be used to receive gas from other WNG pipelines that are operated at much higher pressures than the Hogshooter Line. </w:t>
      </w:r>
      <w:r>
        <w:rPr>
          <w:rFonts w:ascii="Times New Roman" w:hAnsi="Times New Roman"/>
          <w:i/>
          <w:sz w:val="24"/>
        </w:rPr>
        <w:t>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vertAlign w:val="superscript"/>
        </w:rPr>
      </w:pPr>
      <w:r>
        <w:rPr>
          <w:rFonts w:ascii="Times New Roman" w:hAnsi="Times New Roman"/>
          <w:sz w:val="24"/>
        </w:rPr>
        <w:t xml:space="preserve">The record thus provides clear evidence that the Cotton Valley facilities (1) connect two interstate pipeline segments of the WNG system, and (2) provide the only viable compression to enable the gas to continue its journey from a lower pressured interstate segment to a higher pressured interstate segment. Cotton Valley will be required to seek certificate authority to own and operate the facilities it uses to receive gas from WNG, to compress the gas, and to deliver the gas back to WNG. </w:t>
      </w:r>
      <w:r>
        <w:rPr>
          <w:rFonts w:ascii="Times New Roman" w:hAnsi="Times New Roman"/>
          <w:sz w:val="24"/>
          <w:vertAlign w:val="superscript"/>
        </w:rPr>
        <w:t>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Accordingly, for the reasons stated above, we hold that Cotton Valley is not an “intrastate pipeline” within the meaning of Section 2(16) of the regulations and therefore, Cotton Valley did not lawfully engage in transportation under Section 311(a)(1) of the NGPA. In addition, Cotton Valley is required, within thirty days from the issuance of a final order in this proceeding, to file for an application for certificate authorization, under Section 7(c) of the NGA and Part 157 of the Commission’s regulations, to continue utilizing the facilities for the transportation of gas in interstate commerce or to cease operating those facilities. This application should include proposed initial rates. In the interim, we will allow Cotton Valley to continue performing the current services in order to prevent unnecessary hardship or disruption to parties who may have relied on them.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As to its compliance with the requirement of Section 284.102(e) of the Regulations, WNG states that Cotton Valley provided it with a copy of a “Shipper’s Section 311 Statement” (notarized June 2, 1997). According to WNG, that statement certifies that the Cotton Valley facilities qualify as valid NGPA Section 311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b/>
          <w:sz w:val="24"/>
        </w:rPr>
      </w:pPr>
      <w:r>
        <w:rPr>
          <w:rFonts w:ascii="Times New Roman" w:hAnsi="Times New Roman"/>
          <w:b/>
          <w:sz w:val="24"/>
        </w:rPr>
        <w:t>[61,759]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facilities. </w:t>
      </w:r>
      <w:r>
        <w:rPr>
          <w:rFonts w:ascii="Times New Roman" w:hAnsi="Times New Roman"/>
          <w:sz w:val="24"/>
          <w:vertAlign w:val="superscript"/>
        </w:rPr>
        <w:t>14</w:t>
      </w:r>
      <w:r>
        <w:rPr>
          <w:rFonts w:ascii="Times New Roman" w:hAnsi="Times New Roman"/>
          <w:sz w:val="24"/>
        </w:rPr>
        <w:t xml:space="preserve"> Although WNG did not include the statement in the prior notice request, it has filed a copy of the statement with the Commission in its December 18, 1997 answer. We find this explanation satisfactory.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Finally, regarding the proposed operation of WNG’s existing delivery facilities, we find that proposal is required by the public convenience and necessity. The delivery facilities will permit WNG to deliver gas from its low-pressure, interstate Hogshooter Line to Cotton Valley’s compression facilities for redelivery of gas to WNG’s high pressure, interstate Quapaw Line.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As noted previously, because Exoko’s protest was not withdrawn within the reconciliation period, WNG’s prior notice request was automatically converted to a traditional case-specific NGA Section 7(c) application. </w:t>
      </w:r>
      <w:r>
        <w:rPr>
          <w:rFonts w:ascii="Times New Roman" w:hAnsi="Times New Roman"/>
          <w:sz w:val="24"/>
          <w:vertAlign w:val="superscript"/>
        </w:rPr>
        <w:t>15</w:t>
      </w:r>
      <w:r>
        <w:rPr>
          <w:rFonts w:ascii="Times New Roman" w:hAnsi="Times New Roman"/>
          <w:sz w:val="24"/>
        </w:rPr>
        <w:t xml:space="preserve"> However, it is the Commission’s policy not to grant Section 7(c) case-specific authority to construct and operate facilities when the applicant can do so under its blanket certificate. </w:t>
      </w:r>
      <w:r>
        <w:rPr>
          <w:rFonts w:ascii="Times New Roman" w:hAnsi="Times New Roman"/>
          <w:sz w:val="24"/>
          <w:vertAlign w:val="superscript"/>
        </w:rPr>
        <w:t>16</w:t>
      </w:r>
      <w:r>
        <w:rPr>
          <w:rFonts w:ascii="Times New Roman" w:hAnsi="Times New Roman"/>
          <w:sz w:val="24"/>
        </w:rPr>
        <w:t xml:space="preserve"> The Commission, therefore, will authorize WNG to construct and operate the subject facilities under its Subpart F, Part 157 blanket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At a hearing held on February 24, 1999, the Commission on its own motion received and made a part of the record in this proceeding all evidence, including the applications and exhibits thereto, submitted in support of the authorizations and declarations sought herein, and upon consideration of the record,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i/>
          <w:sz w:val="24"/>
        </w:rPr>
        <w:t>The Commission orders</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(A) Cotton Valley is directed to file, within 30 days of the date of issuance of this order, an application for certificate authorization, under Section 7(c) of the NGA, and Part 157 of the Commission’s regulations, to continue utilizing the facilities for the transportation of gas in interstate commerce, or to abandon those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(B) WNG is authorized to operate the existing delivery facilities under its Subpart F, Part 157 blanket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(C) The late motion to intervene filed by the Amoco Group is granted.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(D) The requests for a technical conference are dismissed as moot.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b/>
          <w:sz w:val="24"/>
        </w:rPr>
      </w:pPr>
      <w:r>
        <w:rPr>
          <w:rFonts w:ascii="Times New Roman" w:hAnsi="Times New Roman"/>
          <w:b/>
          <w:sz w:val="24"/>
        </w:rPr>
        <w:t>-- Footnotes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b/>
          <w:sz w:val="24"/>
        </w:rPr>
      </w:pPr>
      <w:r>
        <w:rPr>
          <w:rFonts w:ascii="Times New Roman" w:hAnsi="Times New Roman"/>
          <w:b/>
          <w:sz w:val="24"/>
        </w:rPr>
        <w:t>[61,756]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1</w:t>
      </w:r>
      <w:r>
        <w:rPr>
          <w:rFonts w:ascii="Times New Roman" w:hAnsi="Times New Roman"/>
          <w:sz w:val="24"/>
        </w:rPr>
        <w:t xml:space="preserve"> </w:t>
      </w:r>
      <w:r>
        <w:rPr>
          <w:rFonts w:ascii="Times New Roman" w:hAnsi="Times New Roman"/>
          <w:i/>
          <w:sz w:val="24"/>
        </w:rPr>
        <w:t>Williams Natural Gas Company</w:t>
      </w:r>
      <w:r>
        <w:rPr>
          <w:rFonts w:ascii="Times New Roman" w:hAnsi="Times New Roman"/>
          <w:sz w:val="24"/>
        </w:rPr>
        <w:t>, 81 FERC ¶61,218 (1997) (hereinafter referred to as the “November 18 order”). In addition, WNG and Cotton Valley collectively will be referred to as “the respondents.”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2</w:t>
      </w:r>
      <w:r>
        <w:rPr>
          <w:rFonts w:ascii="Times New Roman" w:hAnsi="Times New Roman"/>
          <w:sz w:val="24"/>
        </w:rPr>
        <w:t xml:space="preserve"> Specifically, the prior notice request was filed pursuant to Sections 157.205 (Prior notice procedure) and 157.212 (Change in delivery points) of the Commission’s Regulations. WNG began delivering gas to Cotton Valley under color of NGPA Section 311(a)(1) on July 29, 1997, through these facilities (hereinafter referred to as “WNG’s delivery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3</w:t>
      </w:r>
      <w:r>
        <w:rPr>
          <w:rFonts w:ascii="Times New Roman" w:hAnsi="Times New Roman"/>
          <w:sz w:val="24"/>
        </w:rPr>
        <w:t xml:space="preserve"> Section 311(a)(2) of the NGPA and the regulations thereunder permit an existing intrastate pipeline to transport natural gas in interstate commerce on behalf of either an interstate pipeline or local distribution company (LDC). Section 601(a)(2) of the NGPA provides that “the provisions of such Act [the NGA] and the jurisdiction of the Commission under such Act shall not apply to any transportation in interstate commerce of natural gas if such transportation is . . . authorized by the Commission under [NGPA] Section 311(a).”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4</w:t>
      </w:r>
      <w:r>
        <w:rPr>
          <w:rFonts w:ascii="Times New Roman" w:hAnsi="Times New Roman"/>
          <w:sz w:val="24"/>
        </w:rPr>
        <w:t xml:space="preserve"> Section 2(16) of the NGPA defines “intrastate pipeline” as “any person engaged in natural gas transportation (not including gathering) which is not subject to the jurisdiction of the Commission under the NGA.”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b/>
          <w:sz w:val="24"/>
        </w:rPr>
      </w:pPr>
      <w:r>
        <w:rPr>
          <w:rFonts w:ascii="Times New Roman" w:hAnsi="Times New Roman"/>
          <w:b/>
          <w:sz w:val="24"/>
        </w:rPr>
        <w:t>[61,757]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5</w:t>
      </w:r>
      <w:r>
        <w:rPr>
          <w:rFonts w:ascii="Times New Roman" w:hAnsi="Times New Roman"/>
          <w:sz w:val="24"/>
        </w:rPr>
        <w:t xml:space="preserve"> </w:t>
      </w:r>
      <w:r>
        <w:rPr>
          <w:rFonts w:ascii="Times New Roman" w:hAnsi="Times New Roman"/>
          <w:i/>
          <w:sz w:val="24"/>
        </w:rPr>
        <w:t>Trunkline Gas Company</w:t>
      </w:r>
      <w:r>
        <w:rPr>
          <w:rFonts w:ascii="Times New Roman" w:hAnsi="Times New Roman"/>
          <w:sz w:val="24"/>
        </w:rPr>
        <w:t>, 70 FERC ¶61,163 (1995).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6</w:t>
      </w:r>
      <w:r>
        <w:rPr>
          <w:rFonts w:ascii="Times New Roman" w:hAnsi="Times New Roman"/>
          <w:sz w:val="24"/>
        </w:rPr>
        <w:t xml:space="preserve"> 18 C.F.R. §385.213(a)(2)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7</w:t>
      </w:r>
      <w:r>
        <w:rPr>
          <w:rFonts w:ascii="Times New Roman" w:hAnsi="Times New Roman"/>
          <w:sz w:val="24"/>
        </w:rPr>
        <w:t xml:space="preserve"> 18 C.F.R. §385.101(e)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8</w:t>
      </w:r>
      <w:r>
        <w:rPr>
          <w:rFonts w:ascii="Times New Roman" w:hAnsi="Times New Roman"/>
          <w:sz w:val="24"/>
        </w:rPr>
        <w:t xml:space="preserve"> </w:t>
      </w:r>
      <w:r>
        <w:rPr>
          <w:rFonts w:ascii="Times New Roman" w:hAnsi="Times New Roman"/>
          <w:i/>
          <w:sz w:val="24"/>
        </w:rPr>
        <w:t>See</w:t>
      </w:r>
      <w:r>
        <w:rPr>
          <w:rFonts w:ascii="Times New Roman" w:hAnsi="Times New Roman"/>
          <w:sz w:val="24"/>
        </w:rPr>
        <w:t xml:space="preserve"> Section 284.8 and 284.9 of the Commission’s Regulations. Those regulations provide that “a pipeline may impose reasonable operating conditions on any service provided under . . . [P]art [284].”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b/>
          <w:sz w:val="24"/>
        </w:rPr>
      </w:pPr>
      <w:r>
        <w:rPr>
          <w:rFonts w:ascii="Times New Roman" w:hAnsi="Times New Roman"/>
          <w:b/>
          <w:sz w:val="24"/>
        </w:rPr>
        <w:t>[61,758]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9</w:t>
      </w:r>
      <w:r>
        <w:rPr>
          <w:rFonts w:ascii="Times New Roman" w:hAnsi="Times New Roman"/>
          <w:sz w:val="24"/>
        </w:rPr>
        <w:t xml:space="preserve"> 80 FERC ¶61,286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10</w:t>
      </w:r>
      <w:r>
        <w:rPr>
          <w:rFonts w:ascii="Times New Roman" w:hAnsi="Times New Roman"/>
          <w:sz w:val="24"/>
        </w:rPr>
        <w:t xml:space="preserve"> More on point is </w:t>
      </w:r>
      <w:r>
        <w:rPr>
          <w:rFonts w:ascii="Times New Roman" w:hAnsi="Times New Roman"/>
          <w:i/>
          <w:sz w:val="24"/>
        </w:rPr>
        <w:t>Texas-Ohio Pipeline, Inc.</w:t>
      </w:r>
      <w:r>
        <w:rPr>
          <w:rFonts w:ascii="Times New Roman" w:hAnsi="Times New Roman"/>
          <w:sz w:val="24"/>
        </w:rPr>
        <w:t>, 69 FERC ¶61,145 (1994), where the Commission issued a certificate to allow the operation of a pipeline facility constructed to alleviate a bottleneck between the jurisdictional services of two interstate pipelines.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11</w:t>
      </w:r>
      <w:r>
        <w:rPr>
          <w:rFonts w:ascii="Times New Roman" w:hAnsi="Times New Roman"/>
          <w:sz w:val="24"/>
        </w:rPr>
        <w:t xml:space="preserve">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e.g.</w:t>
      </w:r>
      <w:r>
        <w:rPr>
          <w:rFonts w:ascii="Times New Roman" w:hAnsi="Times New Roman"/>
          <w:sz w:val="24"/>
        </w:rPr>
        <w:t>, the November 18 order at p. 61,031 (citing evidence showing Cotton Valley was created for the purpose of transporting its members’ gas from the Hogshooter pipeline through Cotton Valley’s facilities into the Quapaw Line).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12</w:t>
      </w:r>
      <w:r>
        <w:rPr>
          <w:rFonts w:ascii="Times New Roman" w:hAnsi="Times New Roman"/>
          <w:sz w:val="24"/>
        </w:rPr>
        <w:t xml:space="preserve"> Answer at p.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13</w:t>
      </w:r>
      <w:r>
        <w:rPr>
          <w:rFonts w:ascii="Times New Roman" w:hAnsi="Times New Roman"/>
          <w:sz w:val="24"/>
        </w:rPr>
        <w:t xml:space="preserve"> </w:t>
      </w:r>
      <w:r>
        <w:rPr>
          <w:rFonts w:ascii="Times New Roman" w:hAnsi="Times New Roman"/>
          <w:i/>
          <w:sz w:val="24"/>
        </w:rPr>
        <w:t>See Clear Creek Storage Company</w:t>
      </w:r>
      <w:r>
        <w:rPr>
          <w:rFonts w:ascii="Times New Roman" w:hAnsi="Times New Roman"/>
          <w:sz w:val="24"/>
        </w:rPr>
        <w:t>, 84 FERC ¶61,210 (1998).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b/>
          <w:sz w:val="24"/>
        </w:rPr>
      </w:pPr>
      <w:r>
        <w:rPr>
          <w:rFonts w:ascii="Times New Roman" w:hAnsi="Times New Roman"/>
          <w:b/>
          <w:sz w:val="24"/>
        </w:rPr>
        <w:t>[61,759]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14</w:t>
      </w:r>
      <w:r>
        <w:rPr>
          <w:rFonts w:ascii="Times New Roman" w:hAnsi="Times New Roman"/>
          <w:sz w:val="24"/>
        </w:rPr>
        <w:t xml:space="preserve"> In relevant part, the Shipper’s Section 311 Statement provides: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That requested transportation is reflected in an unexecuted Transportation Agreement (Reference No. TR-00534). Transportation of gas by an interstate pipeline such as WNG under Section 311 is available only if the transportation is on behalf of an intrastate pipeline or a local distribution company. Therefore, in order to satisfy the requirements of Section 311 transportation, Shipper hereby warrants to WNG (I) that all the requested transportation reflected in such Transportation Agreement (Reference No. TR-00534) is on its behalf as an intrastate pipeline or a local distribution company, and (ii) that it will (a) have physical custody of and transport the natural gas at some point during the transaction; (b) hold title to the natural gas at some point during the transaction for a purpose related to its status and function as an intrastate pipeline or local distribution company; or (c) the gas is being delivered to a customer which is in the service area of such company and that such company certifies that the transportation is on its behalf,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15</w:t>
      </w:r>
      <w:r>
        <w:rPr>
          <w:rFonts w:ascii="Times New Roman" w:hAnsi="Times New Roman"/>
          <w:sz w:val="24"/>
        </w:rPr>
        <w:t xml:space="preserve"> </w:t>
      </w:r>
      <w:r>
        <w:rPr>
          <w:rFonts w:ascii="Times New Roman" w:hAnsi="Times New Roman"/>
          <w:i/>
          <w:sz w:val="24"/>
        </w:rPr>
        <w:t>See</w:t>
      </w:r>
      <w:r>
        <w:rPr>
          <w:rFonts w:ascii="Times New Roman" w:hAnsi="Times New Roman"/>
          <w:sz w:val="24"/>
        </w:rPr>
        <w:t xml:space="preserve"> Section 157.205(g) of the Regulations.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vertAlign w:val="superscript"/>
        </w:rPr>
        <w:t>16</w:t>
      </w:r>
      <w:r>
        <w:rPr>
          <w:rFonts w:ascii="Times New Roman" w:hAnsi="Times New Roman"/>
          <w:sz w:val="24"/>
        </w:rPr>
        <w:t xml:space="preserve"> </w:t>
      </w:r>
      <w:r>
        <w:rPr>
          <w:rFonts w:ascii="Times New Roman" w:hAnsi="Times New Roman"/>
          <w:i/>
          <w:sz w:val="24"/>
        </w:rPr>
        <w:t>See Texas Gas Transmission Corporation</w:t>
      </w:r>
      <w:r>
        <w:rPr>
          <w:rFonts w:ascii="Times New Roman" w:hAnsi="Times New Roman"/>
          <w:sz w:val="24"/>
        </w:rPr>
        <w:t xml:space="preserve">, 65 FERC at p. 62,266; and </w:t>
      </w:r>
      <w:r>
        <w:rPr>
          <w:rFonts w:ascii="Times New Roman" w:hAnsi="Times New Roman"/>
          <w:i/>
          <w:sz w:val="24"/>
        </w:rPr>
        <w:t>Tennessee Gas Pipeline Company</w:t>
      </w:r>
      <w:r>
        <w:rPr>
          <w:rFonts w:ascii="Times New Roman" w:hAnsi="Times New Roman"/>
          <w:sz w:val="24"/>
        </w:rPr>
        <w:t>, 55 FERC ¶61,437, at p. 62,307 (1991).</w:t>
      </w:r>
    </w:p>
    <w:sectPr>
      <w:type w:val="continuous"/>
      <w:pgSz w:w="12240" w:h="15840"/>
      <w:pgMar w:left="1440" w:right="1440" w:gutter="0" w:header="0" w:top="1440" w:footer="0" w:bottom="144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