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6"/>
        </w:rPr>
      </w:pPr>
      <w:r>
        <w:rPr>
          <w:sz w:val="36"/>
        </w:rPr>
        <w:t>Richard S. Costigan, III</w:t>
      </w:r>
    </w:p>
    <w:p>
      <w:pPr>
        <w:pStyle w:val="Heading"/>
        <w:rPr>
          <w:sz w:val="24"/>
        </w:rPr>
      </w:pPr>
      <w:r>
        <w:rPr>
          <w:sz w:val="24"/>
        </w:rPr>
        <w:t>9942 Camberly Court</w:t>
      </w:r>
    </w:p>
    <w:p>
      <w:pPr>
        <w:pStyle w:val="Heading"/>
        <w:rPr>
          <w:sz w:val="24"/>
        </w:rPr>
      </w:pPr>
      <w:r>
        <w:rPr>
          <w:sz w:val="24"/>
        </w:rPr>
        <w:t>Granite Bay, California 95746</w:t>
      </w:r>
    </w:p>
    <w:p>
      <w:pPr>
        <w:pStyle w:val="Heading"/>
        <w:rPr>
          <w:sz w:val="24"/>
        </w:rPr>
      </w:pPr>
      <w:r>
        <w:rPr>
          <w:sz w:val="24"/>
        </w:rPr>
        <w:t>H: (916) 797-1391</w:t>
      </w:r>
    </w:p>
    <w:p>
      <w:pPr>
        <w:pStyle w:val="Heading"/>
        <w:rPr>
          <w:sz w:val="24"/>
        </w:rPr>
      </w:pPr>
      <w:r>
        <w:rPr>
          <w:sz w:val="24"/>
        </w:rPr>
        <w:t>W: (916) 319-2645</w:t>
      </w:r>
    </w:p>
    <w:p>
      <w:pPr>
        <w:pStyle w:val="Heading"/>
        <w:rPr>
          <w:sz w:val="24"/>
        </w:rPr>
      </w:pPr>
      <w:r>
        <w:rPr>
          <w:sz w:val="24"/>
        </w:rPr>
        <w:t>richard.costigan@asm.ca.gov</w:t>
      </w:r>
    </w:p>
    <w:p>
      <w:pPr>
        <w:pStyle w:val="Heading"/>
        <w:rPr>
          <w:sz w:val="24"/>
        </w:rPr>
      </w:pPr>
      <w:r>
        <w:rPr>
          <w:sz w:val="24"/>
        </w:rPr>
      </w:r>
    </w:p>
    <w:p>
      <w:pPr>
        <w:pStyle w:val="Heading"/>
        <w:rPr>
          <w:sz w:val="24"/>
        </w:rPr>
      </w:pPr>
      <w:r>
        <w:rPr>
          <w:sz w:val="24"/>
        </w:rPr>
      </w:r>
    </w:p>
    <w:p>
      <w:pPr>
        <w:pStyle w:val="Heading"/>
        <w:rPr>
          <w:sz w:val="24"/>
        </w:rPr>
      </w:pPr>
      <w:r>
        <w:rPr>
          <w:sz w:val="24"/>
        </w:rPr>
      </w:r>
    </w:p>
    <w:p>
      <w:pPr>
        <w:pStyle w:val="Normal"/>
        <w:ind w:end="-1080"/>
        <w:rPr>
          <w:b/>
          <w:smallCaps/>
          <w:sz w:val="24"/>
        </w:rPr>
      </w:pPr>
      <w:r>
        <w:rPr>
          <w:b/>
          <w:smallCaps/>
          <w:sz w:val="24"/>
        </w:rPr>
        <w:t>Chief of Staff</w:t>
      </w:r>
    </w:p>
    <w:p>
      <w:pPr>
        <w:pStyle w:val="Normal"/>
        <w:ind w:end="-1080"/>
        <w:rPr>
          <w:b/>
          <w:smallCaps/>
          <w:sz w:val="24"/>
        </w:rPr>
      </w:pPr>
      <w:r>
        <w:rPr>
          <w:b/>
          <w:smallCaps/>
          <w:sz w:val="24"/>
        </w:rPr>
        <w:t>Office of the Assembly Republican Leader</w:t>
      </w:r>
    </w:p>
    <w:p>
      <w:pPr>
        <w:pStyle w:val="Normal"/>
        <w:ind w:end="-1080"/>
        <w:rPr>
          <w:b/>
          <w:smallCaps/>
          <w:sz w:val="24"/>
        </w:rPr>
      </w:pPr>
      <w:r>
        <w:rPr>
          <w:b/>
          <w:smallCaps/>
          <w:sz w:val="24"/>
        </w:rPr>
        <w:t>California State Assembly</w:t>
      </w:r>
    </w:p>
    <w:p>
      <w:pPr>
        <w:pStyle w:val="Heading2"/>
        <w:rPr>
          <w:smallCaps/>
        </w:rPr>
      </w:pPr>
      <w:r>
        <w:rPr>
          <w:smallCaps/>
        </w:rPr>
        <w:t>November 15, 2000 to Present</w:t>
      </w:r>
    </w:p>
    <w:p>
      <w:pPr>
        <w:pStyle w:val="Normal"/>
        <w:ind w:end="-1080"/>
        <w:rPr>
          <w:b/>
          <w:smallCaps/>
          <w:sz w:val="24"/>
        </w:rPr>
      </w:pPr>
      <w:r>
        <w:rPr>
          <w:b/>
          <w:smallCaps/>
          <w:sz w:val="24"/>
        </w:rPr>
      </w:r>
    </w:p>
    <w:p>
      <w:pPr>
        <w:pStyle w:val="Normal"/>
        <w:ind w:end="-180"/>
        <w:jc w:val="both"/>
        <w:rPr>
          <w:sz w:val="24"/>
        </w:rPr>
      </w:pPr>
      <w:r>
        <w:rPr>
          <w:sz w:val="24"/>
        </w:rPr>
        <w:t>Chief Advisor to Assembly Republican Leadership on policy and strategy issues. Responsible for the oversight of the Republican Caucus Office of Policy, Office of Member Services, Office of Communications, Budget and Appropriations Office and over 100 staff.  The senior ranking Republican staff position in the Assembly. Lead Republican staff negotiator on the Energy Crisis.  Primary responsibilities include interactions with members of both Houses, including Leadership.  Primary staff contact for interaction with the Governor’s Senior Staff, Leadership staff and other interested parties. Extensive knowledge of the legislative and budget process, tactical political decision making and strategic planning, setting and obtaining short and long-term objectives, grassroots and coalition building experience.</w:t>
      </w:r>
    </w:p>
    <w:p>
      <w:pPr>
        <w:pStyle w:val="Heading2"/>
        <w:jc w:val="both"/>
        <w:rPr>
          <w:sz w:val="24"/>
        </w:rPr>
      </w:pPr>
      <w:r>
        <w:rPr>
          <w:sz w:val="24"/>
        </w:rPr>
      </w:r>
    </w:p>
    <w:p>
      <w:pPr>
        <w:pStyle w:val="Heading2"/>
        <w:jc w:val="both"/>
        <w:rPr>
          <w:b/>
          <w:smallCaps/>
        </w:rPr>
      </w:pPr>
      <w:r>
        <w:rPr>
          <w:b/>
          <w:smallCaps/>
        </w:rPr>
        <w:t>Director of Policy</w:t>
      </w:r>
    </w:p>
    <w:p>
      <w:pPr>
        <w:pStyle w:val="Heading2"/>
        <w:jc w:val="both"/>
        <w:rPr>
          <w:b/>
          <w:smallCaps/>
        </w:rPr>
      </w:pPr>
      <w:r>
        <w:rPr>
          <w:b/>
          <w:smallCaps/>
        </w:rPr>
        <w:t>Assembly Republican Caucus Office of Policy</w:t>
      </w:r>
    </w:p>
    <w:p>
      <w:pPr>
        <w:pStyle w:val="Heading3"/>
        <w:jc w:val="both"/>
        <w:rPr/>
      </w:pPr>
      <w:r>
        <w:rPr/>
        <w:t>California State Assembly</w:t>
      </w:r>
    </w:p>
    <w:p>
      <w:pPr>
        <w:pStyle w:val="Heading4"/>
        <w:jc w:val="both"/>
        <w:rPr>
          <w:b w:val="false"/>
          <w:sz w:val="24"/>
        </w:rPr>
      </w:pPr>
      <w:r>
        <w:rPr>
          <w:b w:val="false"/>
          <w:sz w:val="24"/>
        </w:rPr>
        <w:t>March 1, 1999 – November 14, 2000</w:t>
      </w:r>
    </w:p>
    <w:p>
      <w:pPr>
        <w:pStyle w:val="Normal"/>
        <w:jc w:val="both"/>
        <w:rPr>
          <w:b/>
          <w:sz w:val="24"/>
        </w:rPr>
      </w:pPr>
      <w:r>
        <w:rPr>
          <w:b/>
          <w:sz w:val="24"/>
        </w:rPr>
      </w:r>
    </w:p>
    <w:p>
      <w:pPr>
        <w:pStyle w:val="Normal"/>
        <w:jc w:val="both"/>
        <w:rPr>
          <w:sz w:val="24"/>
        </w:rPr>
      </w:pPr>
      <w:r>
        <w:rPr>
          <w:sz w:val="24"/>
        </w:rPr>
        <w:t xml:space="preserve">Chief Policy Advisor to Republican Members of the California State Assembly.  Responsible for the oversight of the professional policy staff and Information Technology unit (26 staff personnel).  Responsible for the development and implementation of public policy initiatives.  </w:t>
      </w:r>
    </w:p>
    <w:p>
      <w:pPr>
        <w:pStyle w:val="Normal"/>
        <w:ind w:end="-1080"/>
        <w:jc w:val="both"/>
        <w:rPr>
          <w:sz w:val="24"/>
        </w:rPr>
      </w:pPr>
      <w:r>
        <w:rPr>
          <w:sz w:val="24"/>
        </w:rPr>
      </w:r>
    </w:p>
    <w:p>
      <w:pPr>
        <w:pStyle w:val="Normal"/>
        <w:ind w:end="-1080"/>
        <w:rPr>
          <w:b/>
          <w:smallCaps/>
          <w:sz w:val="24"/>
        </w:rPr>
      </w:pPr>
      <w:r>
        <w:rPr>
          <w:b/>
          <w:smallCaps/>
          <w:sz w:val="24"/>
        </w:rPr>
        <w:t>Principal Consultant (Minority)</w:t>
      </w:r>
    </w:p>
    <w:p>
      <w:pPr>
        <w:pStyle w:val="Heading3"/>
        <w:rPr>
          <w:smallCaps/>
        </w:rPr>
      </w:pPr>
      <w:r>
        <w:rPr>
          <w:smallCaps/>
        </w:rPr>
        <w:t>Assembly Appropriations &amp; Budget Committees</w:t>
      </w:r>
    </w:p>
    <w:p>
      <w:pPr>
        <w:pStyle w:val="Normal"/>
        <w:ind w:end="-1080"/>
        <w:rPr>
          <w:b/>
          <w:sz w:val="24"/>
        </w:rPr>
      </w:pPr>
      <w:r>
        <w:rPr>
          <w:b/>
          <w:smallCaps/>
          <w:sz w:val="24"/>
        </w:rPr>
        <w:t>California State Assembly</w:t>
      </w:r>
    </w:p>
    <w:p>
      <w:pPr>
        <w:pStyle w:val="Heading2"/>
        <w:rPr/>
      </w:pPr>
      <w:r>
        <w:rPr/>
        <w:t>April 1, 1997 – February 28, 1999</w:t>
      </w:r>
    </w:p>
    <w:p>
      <w:pPr>
        <w:pStyle w:val="BodyText2"/>
        <w:ind w:end="-90"/>
        <w:rPr>
          <w:sz w:val="24"/>
        </w:rPr>
      </w:pPr>
      <w:r>
        <w:rPr>
          <w:sz w:val="24"/>
        </w:rPr>
      </w:r>
    </w:p>
    <w:p>
      <w:pPr>
        <w:pStyle w:val="BodyText2"/>
        <w:ind w:end="-90"/>
        <w:rPr>
          <w:sz w:val="24"/>
        </w:rPr>
      </w:pPr>
      <w:r>
        <w:rPr>
          <w:sz w:val="24"/>
        </w:rPr>
        <w:t>Analysis of legislative bills and advise Vice Chairman and Members of the Appropriations Committee on the fiscal and policy impact of pending legislation.  Confer and negotiate amendments with legislative staff, state agencies and departments, industry representatives and other interested parties.  Analyzed over 325 bills during the 1997 session in the areas of labor and employment, taxation, local government, trade and commerce, insurance, consumer protection and business.</w:t>
      </w:r>
    </w:p>
    <w:p>
      <w:pPr>
        <w:pStyle w:val="Normal"/>
        <w:ind w:end="-180"/>
        <w:rPr>
          <w:sz w:val="24"/>
        </w:rPr>
      </w:pPr>
      <w:r>
        <w:rPr>
          <w:sz w:val="24"/>
        </w:rPr>
      </w:r>
    </w:p>
    <w:p>
      <w:pPr>
        <w:pStyle w:val="BodyText"/>
        <w:ind w:end="-180"/>
        <w:jc w:val="both"/>
        <w:rPr>
          <w:sz w:val="24"/>
        </w:rPr>
      </w:pPr>
      <w:r>
        <w:rPr>
          <w:sz w:val="24"/>
        </w:rPr>
      </w:r>
    </w:p>
    <w:p>
      <w:pPr>
        <w:pStyle w:val="BodyText"/>
        <w:ind w:end="-180"/>
        <w:jc w:val="both"/>
        <w:rPr>
          <w:sz w:val="24"/>
        </w:rPr>
      </w:pPr>
      <w:r>
        <w:rPr>
          <w:sz w:val="24"/>
        </w:rPr>
      </w:r>
    </w:p>
    <w:p>
      <w:pPr>
        <w:pStyle w:val="BodyText"/>
        <w:ind w:end="-180"/>
        <w:jc w:val="both"/>
        <w:rPr>
          <w:sz w:val="24"/>
        </w:rPr>
      </w:pPr>
      <w:r>
        <w:rPr>
          <w:sz w:val="24"/>
        </w:rPr>
        <w:t>Budgetary and policy oversight of Business, Housing, General Government, Labor, Insurance, Taxing agencies, Consumer Affairs, Local Government and numerous other program areas.  Responsible for the oversight and recommendation of expenditures for numerous programs and departments in excess of $15 billion for fiscal year 1997-98.  Responsibilities include funding and policy considerations of numerous state agencies budgets, programs, policies, pending legislation and regulations, impact of agencies on the public and business community; extensive interaction with agency directors and staff, Legislative Analyst Office, Department of Finance, Governor’s office, legislative members and staff, lobbyists and other interested parties.</w:t>
      </w:r>
    </w:p>
    <w:p>
      <w:pPr>
        <w:pStyle w:val="Normal"/>
        <w:ind w:end="-720"/>
        <w:rPr>
          <w:sz w:val="24"/>
        </w:rPr>
      </w:pPr>
      <w:r>
        <w:rPr>
          <w:sz w:val="24"/>
        </w:rPr>
      </w:r>
    </w:p>
    <w:p>
      <w:pPr>
        <w:pStyle w:val="BodyText3"/>
        <w:rPr>
          <w:smallCaps/>
        </w:rPr>
      </w:pPr>
      <w:r>
        <w:rPr>
          <w:smallCaps/>
        </w:rPr>
        <w:t>Senior Consultant  (Majority)</w:t>
      </w:r>
    </w:p>
    <w:p>
      <w:pPr>
        <w:pStyle w:val="BodyText3"/>
        <w:rPr>
          <w:smallCaps/>
        </w:rPr>
      </w:pPr>
      <w:r>
        <w:rPr>
          <w:smallCaps/>
        </w:rPr>
        <w:t xml:space="preserve">Assembly Budget Committee on Environment &amp; Natural Resources </w:t>
      </w:r>
    </w:p>
    <w:p>
      <w:pPr>
        <w:pStyle w:val="Normal"/>
        <w:ind w:end="-720"/>
        <w:rPr>
          <w:b/>
          <w:sz w:val="24"/>
        </w:rPr>
      </w:pPr>
      <w:r>
        <w:rPr>
          <w:b/>
          <w:smallCaps/>
          <w:sz w:val="24"/>
        </w:rPr>
        <w:t>California State Assembly</w:t>
      </w:r>
    </w:p>
    <w:p>
      <w:pPr>
        <w:pStyle w:val="Heading1"/>
        <w:rPr>
          <w:b w:val="false"/>
        </w:rPr>
      </w:pPr>
      <w:r>
        <w:rPr>
          <w:b w:val="false"/>
        </w:rPr>
        <w:t>March 1996 – March 1997</w:t>
      </w:r>
    </w:p>
    <w:p>
      <w:pPr>
        <w:pStyle w:val="Normal"/>
        <w:ind w:end="-720"/>
        <w:rPr>
          <w:b/>
          <w:sz w:val="24"/>
        </w:rPr>
      </w:pPr>
      <w:r>
        <w:rPr>
          <w:b/>
          <w:sz w:val="24"/>
        </w:rPr>
      </w:r>
    </w:p>
    <w:p>
      <w:pPr>
        <w:pStyle w:val="BodyText"/>
        <w:ind w:end="-180"/>
        <w:jc w:val="both"/>
        <w:rPr>
          <w:sz w:val="24"/>
        </w:rPr>
      </w:pPr>
      <w:r>
        <w:rPr>
          <w:sz w:val="24"/>
        </w:rPr>
        <w:t>Budgetary and policy oversight of environmental and resource agencies in California for the State Assembly.  Responsible for the oversight and recommendations to the Chairman of Budget Subcommittee for expenditures for resources and environmental programs in excess of $2.1 billion for fiscal year 1996-97.  Responsibilities include funding and policy considerations of environmental and resources agencies budget, programs, policies, pending legislation and regulations, impact of agencies on the public and business community; extensive interaction with agency directors and staff, Legislative Analyst Office, Department of Finance, Governor’s office, legislative members staff, lobbyists and other interested parties.</w:t>
      </w:r>
    </w:p>
    <w:p>
      <w:pPr>
        <w:pStyle w:val="Normal"/>
        <w:ind w:end="-720"/>
        <w:rPr>
          <w:sz w:val="24"/>
        </w:rPr>
      </w:pPr>
      <w:r>
        <w:rPr>
          <w:sz w:val="24"/>
        </w:rPr>
      </w:r>
    </w:p>
    <w:p>
      <w:pPr>
        <w:pStyle w:val="BodyText3"/>
        <w:rPr/>
      </w:pPr>
      <w:r>
        <w:rPr/>
        <w:t>Civil Service Commission (Chairman)</w:t>
      </w:r>
    </w:p>
    <w:p>
      <w:pPr>
        <w:pStyle w:val="Normal"/>
        <w:ind w:end="-720"/>
        <w:rPr>
          <w:sz w:val="24"/>
        </w:rPr>
      </w:pPr>
      <w:r>
        <w:rPr>
          <w:sz w:val="24"/>
        </w:rPr>
        <w:t>October 1996 – current</w:t>
      </w:r>
    </w:p>
    <w:p>
      <w:pPr>
        <w:pStyle w:val="BodyText"/>
        <w:ind w:end="-180"/>
        <w:jc w:val="both"/>
        <w:rPr>
          <w:sz w:val="24"/>
        </w:rPr>
      </w:pPr>
      <w:r>
        <w:rPr>
          <w:sz w:val="24"/>
        </w:rPr>
      </w:r>
    </w:p>
    <w:p>
      <w:pPr>
        <w:pStyle w:val="BodyText"/>
        <w:ind w:end="-180"/>
        <w:jc w:val="both"/>
        <w:rPr>
          <w:sz w:val="24"/>
        </w:rPr>
      </w:pPr>
      <w:r>
        <w:rPr>
          <w:sz w:val="24"/>
        </w:rPr>
        <w:t>Responsible for the oversight and review of Placer County public agencies and personnel classifications for 3,000 county employees.  The Commission reviews and determines all personnel and salary level classifications, department organizational structures, county employees administrative, disciplinary and termination appeal hearings and other employee matters.</w:t>
      </w:r>
    </w:p>
    <w:p>
      <w:pPr>
        <w:pStyle w:val="Normal"/>
        <w:ind w:end="-720"/>
        <w:rPr>
          <w:sz w:val="24"/>
        </w:rPr>
      </w:pPr>
      <w:r>
        <w:rPr>
          <w:sz w:val="24"/>
        </w:rPr>
      </w:r>
    </w:p>
    <w:p>
      <w:pPr>
        <w:pStyle w:val="Normal"/>
        <w:ind w:end="-720"/>
        <w:rPr/>
      </w:pPr>
      <w:r>
        <w:rPr>
          <w:b/>
          <w:sz w:val="24"/>
        </w:rPr>
        <w:t>W</w:t>
      </w:r>
      <w:r>
        <w:rPr>
          <w:b/>
          <w:smallCaps/>
          <w:sz w:val="24"/>
        </w:rPr>
        <w:t>illiam H. Arey</w:t>
      </w:r>
      <w:r>
        <w:rPr>
          <w:b/>
          <w:sz w:val="24"/>
        </w:rPr>
        <w:t>, P.C.</w:t>
      </w:r>
    </w:p>
    <w:p>
      <w:pPr>
        <w:pStyle w:val="Heading5"/>
        <w:rPr/>
      </w:pPr>
      <w:r>
        <w:rPr/>
        <w:t>August 1995 – March 1996</w:t>
      </w:r>
    </w:p>
    <w:p>
      <w:pPr>
        <w:pStyle w:val="Normal"/>
        <w:ind w:end="-360"/>
        <w:rPr>
          <w:sz w:val="24"/>
        </w:rPr>
      </w:pPr>
      <w:r>
        <w:rPr>
          <w:sz w:val="24"/>
        </w:rPr>
      </w:r>
    </w:p>
    <w:p>
      <w:pPr>
        <w:pStyle w:val="BodyText2"/>
        <w:ind w:end="-360"/>
        <w:rPr>
          <w:sz w:val="24"/>
        </w:rPr>
      </w:pPr>
      <w:r>
        <w:rPr>
          <w:sz w:val="24"/>
        </w:rPr>
        <w:t>Handle all aspects of a primary general practice firm including family law litigation, business litigation and real estate transactions and closings.  Unique opportunity to become a partner in a practice that grossed in excess of $750,000 in 1995.  Numerous bench and jury trials.</w:t>
      </w:r>
    </w:p>
    <w:p>
      <w:pPr>
        <w:pStyle w:val="Normal"/>
        <w:ind w:end="-720"/>
        <w:rPr>
          <w:sz w:val="24"/>
        </w:rPr>
      </w:pPr>
      <w:r>
        <w:rPr>
          <w:sz w:val="24"/>
        </w:rPr>
      </w:r>
    </w:p>
    <w:p>
      <w:pPr>
        <w:pStyle w:val="Normal"/>
        <w:ind w:end="-720"/>
        <w:rPr>
          <w:b/>
          <w:smallCaps/>
          <w:sz w:val="24"/>
        </w:rPr>
      </w:pPr>
      <w:r>
        <w:rPr>
          <w:b/>
          <w:smallCaps/>
          <w:sz w:val="24"/>
        </w:rPr>
      </w:r>
    </w:p>
    <w:p>
      <w:pPr>
        <w:pStyle w:val="Normal"/>
        <w:ind w:end="-720"/>
        <w:rPr>
          <w:b/>
          <w:smallCaps/>
          <w:sz w:val="24"/>
        </w:rPr>
      </w:pPr>
      <w:r>
        <w:rPr>
          <w:b/>
          <w:smallCaps/>
          <w:sz w:val="24"/>
        </w:rPr>
      </w:r>
    </w:p>
    <w:p>
      <w:pPr>
        <w:pStyle w:val="Normal"/>
        <w:ind w:end="-720"/>
        <w:rPr>
          <w:b/>
          <w:smallCaps/>
          <w:sz w:val="24"/>
        </w:rPr>
      </w:pPr>
      <w:r>
        <w:rPr>
          <w:b/>
          <w:smallCaps/>
          <w:sz w:val="24"/>
        </w:rPr>
      </w:r>
    </w:p>
    <w:p>
      <w:pPr>
        <w:pStyle w:val="Normal"/>
        <w:ind w:end="-720"/>
        <w:rPr>
          <w:b/>
          <w:smallCaps/>
          <w:sz w:val="24"/>
        </w:rPr>
      </w:pPr>
      <w:r>
        <w:rPr>
          <w:b/>
          <w:smallCaps/>
          <w:sz w:val="24"/>
        </w:rPr>
      </w:r>
    </w:p>
    <w:p>
      <w:pPr>
        <w:pStyle w:val="Normal"/>
        <w:ind w:end="-720"/>
        <w:rPr>
          <w:b/>
          <w:smallCaps/>
          <w:sz w:val="24"/>
        </w:rPr>
      </w:pPr>
      <w:r>
        <w:rPr>
          <w:b/>
          <w:smallCaps/>
          <w:sz w:val="24"/>
        </w:rPr>
      </w:r>
    </w:p>
    <w:p>
      <w:pPr>
        <w:pStyle w:val="Normal"/>
        <w:ind w:end="-720"/>
        <w:rPr>
          <w:b/>
          <w:smallCaps/>
          <w:sz w:val="24"/>
        </w:rPr>
      </w:pPr>
      <w:r>
        <w:rPr>
          <w:b/>
          <w:smallCaps/>
          <w:sz w:val="24"/>
        </w:rPr>
      </w:r>
    </w:p>
    <w:p>
      <w:pPr>
        <w:pStyle w:val="Normal"/>
        <w:ind w:end="-720"/>
        <w:rPr>
          <w:b/>
          <w:smallCaps/>
          <w:sz w:val="24"/>
        </w:rPr>
      </w:pPr>
      <w:r>
        <w:rPr>
          <w:b/>
          <w:smallCaps/>
          <w:sz w:val="24"/>
        </w:rPr>
        <w:t>Senior Litigation Associate</w:t>
      </w:r>
    </w:p>
    <w:p>
      <w:pPr>
        <w:pStyle w:val="Normal"/>
        <w:ind w:end="-720"/>
        <w:rPr>
          <w:smallCaps/>
          <w:sz w:val="24"/>
        </w:rPr>
      </w:pPr>
      <w:r>
        <w:rPr>
          <w:b/>
          <w:smallCaps/>
          <w:sz w:val="24"/>
        </w:rPr>
        <w:t>Deming, Parker, Hoffman, Green &amp; Campbell</w:t>
      </w:r>
    </w:p>
    <w:p>
      <w:pPr>
        <w:pStyle w:val="Normal"/>
        <w:ind w:end="-720"/>
        <w:rPr>
          <w:sz w:val="24"/>
        </w:rPr>
      </w:pPr>
      <w:r>
        <w:rPr>
          <w:sz w:val="24"/>
        </w:rPr>
        <w:t>May 1994 – August 1995</w:t>
      </w:r>
    </w:p>
    <w:p>
      <w:pPr>
        <w:pStyle w:val="BodyText"/>
        <w:ind w:end="-180"/>
        <w:jc w:val="both"/>
        <w:rPr>
          <w:sz w:val="24"/>
        </w:rPr>
      </w:pPr>
      <w:r>
        <w:rPr>
          <w:sz w:val="24"/>
        </w:rPr>
      </w:r>
    </w:p>
    <w:p>
      <w:pPr>
        <w:pStyle w:val="BodyText"/>
        <w:ind w:end="-180"/>
        <w:jc w:val="both"/>
        <w:rPr>
          <w:sz w:val="24"/>
        </w:rPr>
      </w:pPr>
      <w:r>
        <w:rPr>
          <w:sz w:val="24"/>
        </w:rPr>
        <w:t>Senior litigation associate involved in all aspects of litigation, including preparation of pleadings and discovery, depositions, handled numerous bench trials and jury trials.  Primary areas include Business Litigation, Domestic Law, Civil Litigation Practice, Discrimination and Contracts; Trial practice in Federal and State Courts.  Handled personnel and administrative hearings for public employees, including disciplinary hearings, tribunal hearings and appeal hearings.</w:t>
      </w:r>
    </w:p>
    <w:p>
      <w:pPr>
        <w:pStyle w:val="Normal"/>
        <w:ind w:end="-720"/>
        <w:rPr>
          <w:sz w:val="24"/>
        </w:rPr>
      </w:pPr>
      <w:r>
        <w:rPr>
          <w:sz w:val="24"/>
        </w:rPr>
      </w:r>
    </w:p>
    <w:p>
      <w:pPr>
        <w:pStyle w:val="Normal"/>
        <w:ind w:end="-720"/>
        <w:rPr>
          <w:b/>
          <w:smallCaps/>
          <w:sz w:val="24"/>
        </w:rPr>
      </w:pPr>
      <w:r>
        <w:rPr>
          <w:b/>
          <w:smallCaps/>
          <w:sz w:val="24"/>
        </w:rPr>
        <w:t>Attorney</w:t>
      </w:r>
    </w:p>
    <w:p>
      <w:pPr>
        <w:pStyle w:val="Normal"/>
        <w:ind w:end="-720"/>
        <w:rPr>
          <w:smallCaps/>
          <w:sz w:val="24"/>
        </w:rPr>
      </w:pPr>
      <w:r>
        <w:rPr>
          <w:b/>
          <w:sz w:val="24"/>
        </w:rPr>
        <w:t>H</w:t>
      </w:r>
      <w:r>
        <w:rPr>
          <w:b/>
          <w:smallCaps/>
          <w:sz w:val="24"/>
        </w:rPr>
        <w:t>armon, Smith, Bridges &amp; Wilbanks</w:t>
      </w:r>
    </w:p>
    <w:p>
      <w:pPr>
        <w:pStyle w:val="Normal"/>
        <w:ind w:end="-720"/>
        <w:rPr>
          <w:sz w:val="24"/>
        </w:rPr>
      </w:pPr>
      <w:r>
        <w:rPr>
          <w:sz w:val="24"/>
        </w:rPr>
        <w:t>March 1993 – May 1994</w:t>
      </w:r>
    </w:p>
    <w:p>
      <w:pPr>
        <w:pStyle w:val="Normal"/>
        <w:ind w:end="-720"/>
        <w:rPr>
          <w:sz w:val="24"/>
        </w:rPr>
      </w:pPr>
      <w:r>
        <w:rPr>
          <w:sz w:val="24"/>
        </w:rPr>
      </w:r>
    </w:p>
    <w:p>
      <w:pPr>
        <w:pStyle w:val="Normal"/>
        <w:ind w:end="-720"/>
        <w:rPr>
          <w:sz w:val="24"/>
        </w:rPr>
      </w:pPr>
      <w:r>
        <w:rPr>
          <w:sz w:val="24"/>
        </w:rPr>
        <w:t>Litigation and Appellate Practice in Federal and State Courts.  Registered lobbyist.</w:t>
      </w:r>
    </w:p>
    <w:p>
      <w:pPr>
        <w:pStyle w:val="Normal"/>
        <w:ind w:end="-720"/>
        <w:rPr>
          <w:sz w:val="24"/>
        </w:rPr>
      </w:pPr>
      <w:r>
        <w:rPr>
          <w:sz w:val="24"/>
        </w:rPr>
      </w:r>
    </w:p>
    <w:p>
      <w:pPr>
        <w:pStyle w:val="Normal"/>
        <w:ind w:end="-720"/>
        <w:rPr>
          <w:b/>
          <w:smallCaps/>
          <w:sz w:val="24"/>
        </w:rPr>
      </w:pPr>
      <w:r>
        <w:rPr>
          <w:b/>
          <w:smallCaps/>
          <w:sz w:val="24"/>
        </w:rPr>
        <w:t>Attorney</w:t>
      </w:r>
    </w:p>
    <w:p>
      <w:pPr>
        <w:pStyle w:val="Normal"/>
        <w:ind w:end="-720"/>
        <w:rPr/>
      </w:pPr>
      <w:r>
        <w:rPr>
          <w:b/>
          <w:smallCaps/>
          <w:sz w:val="24"/>
        </w:rPr>
        <w:t>Meacham, Flowers &amp; Early</w:t>
      </w:r>
      <w:r>
        <w:rPr>
          <w:b/>
          <w:sz w:val="24"/>
        </w:rPr>
        <w:t xml:space="preserve"> P.C. [Firm Dissolved in 1994]</w:t>
      </w:r>
    </w:p>
    <w:p>
      <w:pPr>
        <w:pStyle w:val="Normal"/>
        <w:ind w:end="-720"/>
        <w:rPr>
          <w:sz w:val="24"/>
        </w:rPr>
      </w:pPr>
      <w:r>
        <w:rPr>
          <w:sz w:val="24"/>
        </w:rPr>
        <w:t>August 1991 – March 1993</w:t>
      </w:r>
    </w:p>
    <w:p>
      <w:pPr>
        <w:pStyle w:val="Normal"/>
        <w:ind w:end="-720"/>
        <w:rPr>
          <w:sz w:val="24"/>
        </w:rPr>
      </w:pPr>
      <w:r>
        <w:rPr>
          <w:sz w:val="24"/>
        </w:rPr>
      </w:r>
    </w:p>
    <w:p>
      <w:pPr>
        <w:pStyle w:val="Normal"/>
        <w:ind w:end="-720"/>
        <w:rPr>
          <w:sz w:val="24"/>
        </w:rPr>
      </w:pPr>
      <w:r>
        <w:rPr>
          <w:sz w:val="24"/>
        </w:rPr>
      </w:r>
    </w:p>
    <w:p>
      <w:pPr>
        <w:pStyle w:val="Heading7"/>
        <w:rPr>
          <w:smallCaps/>
          <w:sz w:val="24"/>
          <w:u w:val="single"/>
        </w:rPr>
      </w:pPr>
      <w:r>
        <w:rPr>
          <w:smallCaps/>
          <w:sz w:val="24"/>
          <w:u w:val="single"/>
        </w:rPr>
        <w:t>Education</w:t>
      </w:r>
    </w:p>
    <w:p>
      <w:pPr>
        <w:pStyle w:val="Heading7"/>
        <w:rPr>
          <w:smallCaps/>
          <w:sz w:val="24"/>
          <w:u w:val="single"/>
        </w:rPr>
      </w:pPr>
      <w:r>
        <w:rPr>
          <w:smallCaps/>
          <w:sz w:val="24"/>
          <w:u w:val="single"/>
        </w:rPr>
      </w:r>
    </w:p>
    <w:p>
      <w:pPr>
        <w:pStyle w:val="Heading7"/>
        <w:rPr>
          <w:smallCaps/>
          <w:sz w:val="24"/>
        </w:rPr>
      </w:pPr>
      <w:r>
        <w:rPr>
          <w:smallCaps/>
          <w:sz w:val="24"/>
        </w:rPr>
        <w:t xml:space="preserve">Cumberland School of Law </w:t>
      </w:r>
    </w:p>
    <w:p>
      <w:pPr>
        <w:pStyle w:val="Heading7"/>
        <w:rPr>
          <w:smallCaps/>
          <w:sz w:val="24"/>
        </w:rPr>
      </w:pPr>
      <w:r>
        <w:rPr>
          <w:smallCaps/>
          <w:sz w:val="24"/>
        </w:rPr>
        <w:t>Samford University</w:t>
      </w:r>
    </w:p>
    <w:p>
      <w:pPr>
        <w:pStyle w:val="Heading7"/>
        <w:rPr>
          <w:sz w:val="24"/>
        </w:rPr>
      </w:pPr>
      <w:r>
        <w:rPr>
          <w:sz w:val="24"/>
        </w:rPr>
        <w:t>Birmingham, Alabama</w:t>
      </w:r>
    </w:p>
    <w:p>
      <w:pPr>
        <w:pStyle w:val="Normal"/>
        <w:rPr/>
      </w:pPr>
      <w:r>
        <w:rPr>
          <w:i/>
          <w:sz w:val="24"/>
        </w:rPr>
        <w:t xml:space="preserve">Doctorate of Jurisprudence, </w:t>
      </w:r>
      <w:r>
        <w:rPr>
          <w:sz w:val="24"/>
        </w:rPr>
        <w:t>May 1991</w:t>
      </w:r>
    </w:p>
    <w:p>
      <w:pPr>
        <w:pStyle w:val="Normal"/>
        <w:rPr>
          <w:sz w:val="24"/>
        </w:rPr>
      </w:pPr>
      <w:r>
        <w:rPr>
          <w:sz w:val="24"/>
        </w:rPr>
      </w:r>
    </w:p>
    <w:p>
      <w:pPr>
        <w:pStyle w:val="Normal"/>
        <w:rPr>
          <w:sz w:val="24"/>
        </w:rPr>
      </w:pPr>
      <w:r>
        <w:rPr>
          <w:sz w:val="24"/>
        </w:rPr>
        <w:t xml:space="preserve">Licensed member of the Georgia (1991) and Florida (1992) bars. </w:t>
      </w:r>
    </w:p>
    <w:p>
      <w:pPr>
        <w:pStyle w:val="Normal"/>
        <w:rPr>
          <w:sz w:val="24"/>
        </w:rPr>
      </w:pPr>
      <w:r>
        <w:rPr>
          <w:sz w:val="24"/>
        </w:rPr>
      </w:r>
    </w:p>
    <w:p>
      <w:pPr>
        <w:pStyle w:val="Normal"/>
        <w:rPr>
          <w:sz w:val="24"/>
        </w:rPr>
      </w:pPr>
      <w:r>
        <w:rPr>
          <w:sz w:val="24"/>
        </w:rPr>
      </w:r>
    </w:p>
    <w:p>
      <w:pPr>
        <w:pStyle w:val="Heading8"/>
        <w:ind w:hanging="0" w:start="0"/>
        <w:rPr>
          <w:smallCaps/>
          <w:sz w:val="24"/>
        </w:rPr>
      </w:pPr>
      <w:r>
        <w:rPr>
          <w:smallCaps/>
          <w:sz w:val="24"/>
        </w:rPr>
        <w:t>The University of Georgia</w:t>
      </w:r>
    </w:p>
    <w:p>
      <w:pPr>
        <w:pStyle w:val="Heading8"/>
        <w:ind w:hanging="0" w:start="0"/>
        <w:rPr>
          <w:sz w:val="24"/>
        </w:rPr>
      </w:pPr>
      <w:r>
        <w:rPr>
          <w:sz w:val="24"/>
        </w:rPr>
        <w:t>Athens, Georgia</w:t>
      </w:r>
    </w:p>
    <w:p>
      <w:pPr>
        <w:pStyle w:val="Normal"/>
        <w:rPr/>
      </w:pPr>
      <w:r>
        <w:rPr>
          <w:i/>
          <w:sz w:val="24"/>
        </w:rPr>
        <w:t xml:space="preserve">Bachelor of Arts, </w:t>
      </w:r>
      <w:r>
        <w:rPr>
          <w:sz w:val="24"/>
        </w:rPr>
        <w:t>June 1988</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270"/>
      <w:outlineLvl w:val="0"/>
    </w:pPr>
    <w:rPr>
      <w:b/>
      <w:sz w:val="24"/>
    </w:rPr>
  </w:style>
  <w:style w:type="paragraph" w:styleId="Heading2">
    <w:name w:val="heading 2"/>
    <w:basedOn w:val="Normal"/>
    <w:next w:val="Normal"/>
    <w:qFormat/>
    <w:pPr>
      <w:keepNext w:val="true"/>
      <w:numPr>
        <w:ilvl w:val="1"/>
        <w:numId w:val="1"/>
      </w:numPr>
      <w:ind w:hanging="0" w:start="0" w:end="-1080"/>
      <w:outlineLvl w:val="1"/>
    </w:pPr>
    <w:rPr>
      <w:sz w:val="24"/>
    </w:rPr>
  </w:style>
  <w:style w:type="paragraph" w:styleId="Heading3">
    <w:name w:val="heading 3"/>
    <w:basedOn w:val="Normal"/>
    <w:next w:val="Normal"/>
    <w:qFormat/>
    <w:pPr>
      <w:keepNext w:val="true"/>
      <w:numPr>
        <w:ilvl w:val="2"/>
        <w:numId w:val="1"/>
      </w:numPr>
      <w:ind w:hanging="0" w:start="0" w:end="-1080"/>
      <w:outlineLvl w:val="2"/>
    </w:pPr>
    <w:rPr>
      <w:b/>
      <w:sz w:val="24"/>
    </w:rPr>
  </w:style>
  <w:style w:type="paragraph" w:styleId="Heading4">
    <w:name w:val="heading 4"/>
    <w:basedOn w:val="Normal"/>
    <w:next w:val="Normal"/>
    <w:qFormat/>
    <w:pPr>
      <w:keepNext w:val="true"/>
      <w:numPr>
        <w:ilvl w:val="3"/>
        <w:numId w:val="1"/>
      </w:numPr>
      <w:ind w:hanging="0" w:start="0" w:end="-1080"/>
      <w:outlineLvl w:val="3"/>
    </w:pPr>
    <w:rPr>
      <w:b/>
      <w:sz w:val="22"/>
    </w:rPr>
  </w:style>
  <w:style w:type="paragraph" w:styleId="Heading5">
    <w:name w:val="heading 5"/>
    <w:basedOn w:val="Normal"/>
    <w:next w:val="Normal"/>
    <w:qFormat/>
    <w:pPr>
      <w:keepNext w:val="true"/>
      <w:numPr>
        <w:ilvl w:val="4"/>
        <w:numId w:val="1"/>
      </w:numPr>
      <w:ind w:hanging="0" w:start="0" w:end="-720"/>
      <w:outlineLvl w:val="4"/>
    </w:pPr>
    <w:rPr>
      <w:sz w:val="24"/>
    </w:rPr>
  </w:style>
  <w:style w:type="paragraph" w:styleId="Heading6">
    <w:name w:val="heading 6"/>
    <w:basedOn w:val="Normal"/>
    <w:next w:val="Normal"/>
    <w:qFormat/>
    <w:pPr>
      <w:keepNext w:val="true"/>
      <w:numPr>
        <w:ilvl w:val="5"/>
        <w:numId w:val="1"/>
      </w:numPr>
      <w:ind w:hanging="0" w:start="0" w:end="-720"/>
      <w:outlineLvl w:val="5"/>
    </w:pPr>
    <w:rPr>
      <w:b/>
    </w:rPr>
  </w:style>
  <w:style w:type="paragraph" w:styleId="Heading7">
    <w:name w:val="heading 7"/>
    <w:basedOn w:val="Normal"/>
    <w:next w:val="Normal"/>
    <w:qFormat/>
    <w:pPr>
      <w:keepNext w:val="true"/>
      <w:numPr>
        <w:ilvl w:val="6"/>
        <w:numId w:val="1"/>
      </w:numPr>
      <w:ind w:hanging="0" w:start="0" w:end="-1080"/>
      <w:outlineLvl w:val="6"/>
    </w:pPr>
    <w:rPr>
      <w:b/>
    </w:rPr>
  </w:style>
  <w:style w:type="paragraph" w:styleId="Heading8">
    <w:name w:val="heading 8"/>
    <w:basedOn w:val="Normal"/>
    <w:next w:val="Normal"/>
    <w:qFormat/>
    <w:pPr>
      <w:keepNext w:val="true"/>
      <w:numPr>
        <w:ilvl w:val="7"/>
        <w:numId w:val="1"/>
      </w:numPr>
      <w:outlineLvl w:val="7"/>
    </w:pPr>
    <w:rPr>
      <w:b/>
    </w:rPr>
  </w:style>
  <w:style w:type="character" w:styleId="DefaultParagraphFont">
    <w:name w:val="Default Paragraph Font"/>
    <w:qFormat/>
    <w:rPr/>
  </w:style>
  <w:style w:type="paragraph" w:styleId="Heading">
    <w:name w:val="Heading"/>
    <w:basedOn w:val="Normal"/>
    <w:next w:val="BodyText"/>
    <w:qFormat/>
    <w:pPr>
      <w:jc w:val="center"/>
    </w:pPr>
    <w:rPr>
      <w:b/>
      <w:sz w:val="32"/>
    </w:rPr>
  </w:style>
  <w:style w:type="paragraph" w:styleId="BodyText">
    <w:name w:val="Body Text"/>
    <w:basedOn w:val="Normal"/>
    <w:pPr>
      <w:ind w:hanging="0" w:start="0" w:end="-108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720"/>
      <w:jc w:val="both"/>
    </w:pPr>
    <w:rPr>
      <w:sz w:val="22"/>
    </w:rPr>
  </w:style>
  <w:style w:type="paragraph" w:styleId="BodyText3">
    <w:name w:val="Body Text 3"/>
    <w:basedOn w:val="Normal"/>
    <w:qFormat/>
    <w:pPr>
      <w:ind w:hanging="0" w:start="0" w:end="-720"/>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2001-02-16T14:27:00Z</dcterms:created>
  <dc:creator>Richard S. Costigan</dc:creator>
  <dc:description/>
  <dc:language>en-CA</dc:language>
  <cp:lastModifiedBy>Richard S. Costigan</cp:lastModifiedBy>
  <cp:lastPrinted>2001-03-22T11:17:00Z</cp:lastPrinted>
  <dcterms:modified xsi:type="dcterms:W3CDTF">2001-03-22T16:48:00Z</dcterms:modified>
  <cp:revision>5</cp:revision>
  <dc:subject/>
  <dc:title>Richard S</dc:title>
</cp:coreProperties>
</file>