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COP-6 bis</w:t>
      </w:r>
    </w:p>
    <w:p>
      <w:pPr>
        <w:pStyle w:val="Heading"/>
        <w:rPr/>
      </w:pPr>
      <w:r>
        <w:rPr/>
        <w:t>Preliminary Report</w:t>
      </w:r>
    </w:p>
    <w:p>
      <w:pPr>
        <w:pStyle w:val="Heading"/>
        <w:rPr/>
      </w:pPr>
      <w:r>
        <w:rPr/>
      </w:r>
    </w:p>
    <w:p>
      <w:pPr>
        <w:pStyle w:val="Heading"/>
        <w:rPr>
          <w:i/>
          <w:i/>
        </w:rPr>
      </w:pPr>
      <w:r>
        <w:rPr>
          <w:i/>
        </w:rPr>
        <w:t>July 24, 2001</w:t>
      </w:r>
    </w:p>
    <w:p>
      <w:pPr>
        <w:pStyle w:val="Normal"/>
        <w:jc w:val="center"/>
        <w:rPr>
          <w:b/>
          <w:i/>
          <w:i/>
        </w:rPr>
      </w:pPr>
      <w:r>
        <w:rPr>
          <w:b/>
          <w:i/>
        </w:rPr>
      </w:r>
    </w:p>
    <w:p>
      <w:pPr>
        <w:pStyle w:val="Normal"/>
        <w:jc w:val="center"/>
        <w:rPr>
          <w:b/>
        </w:rPr>
      </w:pPr>
      <w:r>
        <w:rPr>
          <w:b/>
        </w:rPr>
      </w:r>
    </w:p>
    <w:p>
      <w:pPr>
        <w:pStyle w:val="Normal"/>
        <w:jc w:val="center"/>
        <w:rPr>
          <w:b/>
        </w:rPr>
      </w:pPr>
      <w:r>
        <w:rPr>
          <w:b/>
        </w:rPr>
      </w:r>
    </w:p>
    <w:p>
      <w:pPr>
        <w:pStyle w:val="Heading1"/>
        <w:ind w:hanging="0" w:start="0"/>
        <w:rPr/>
      </w:pPr>
      <w:r>
        <w:rPr/>
        <w:t>Overview</w:t>
      </w:r>
    </w:p>
    <w:p>
      <w:pPr>
        <w:pStyle w:val="Normal"/>
        <w:rPr/>
      </w:pPr>
      <w:r>
        <w:rPr/>
      </w:r>
    </w:p>
    <w:p>
      <w:pPr>
        <w:pStyle w:val="Heading3"/>
        <w:ind w:hanging="0" w:start="0"/>
        <w:rPr/>
      </w:pPr>
      <w:r>
        <w:rPr/>
        <w:t>To the surprise of most observers, COP-6 bis succeeded in reaching agreement on the core political issues in the Buenos Aires Plan of Action, including those relating to the Kyoto Protocol.  Prior to the meeting, it had appeared that President Bush’s rejection of Kyoto would deflate the process, robbing it of the momentum necessary for success.  But instead, at COP-6 bis, it became apparent that the President’s decision had had the opposite effect: it had united other countries behind the Kyoto Protocol, and made them determined to demonstrate to the world that the United States could not unilaterally overthrow years of multilateral work.</w:t>
      </w:r>
    </w:p>
    <w:p>
      <w:pPr>
        <w:pStyle w:val="Heading3"/>
        <w:ind w:hanging="0" w:start="0"/>
        <w:rPr/>
      </w:pPr>
      <w:r>
        <w:rPr/>
      </w:r>
    </w:p>
    <w:p>
      <w:pPr>
        <w:pStyle w:val="Heading3"/>
        <w:ind w:hanging="0" w:start="0"/>
        <w:rPr/>
      </w:pPr>
      <w:r>
        <w:rPr/>
        <w:t>The final package involved compromises by all sides:</w:t>
      </w:r>
    </w:p>
    <w:p>
      <w:pPr>
        <w:pStyle w:val="Normal"/>
        <w:rPr/>
      </w:pPr>
      <w:r>
        <w:rPr/>
      </w:r>
    </w:p>
    <w:p>
      <w:pPr>
        <w:pStyle w:val="Normal"/>
        <w:numPr>
          <w:ilvl w:val="0"/>
          <w:numId w:val="6"/>
        </w:numPr>
        <w:rPr/>
      </w:pPr>
      <w:r>
        <w:rPr/>
        <w:t>The G-77 received a political pledge of significant funding ($410 million per year) for mitigation and adaptation activities (mostly from the EU), as well as the creation of three new funds, but did not succeed in establishing a binding obligation on OECD countries to contribute new and additional financial resources.  Developing countries succeeded in winning a majority on all of the new bodies created under the Kyoto Protocol, including the Compliance Committee’s enforcement branch.  The final package also included several principles that developing countries had long sought, including language on equity that focuses on reducing differences in per capita emissions.</w:t>
      </w:r>
    </w:p>
    <w:p>
      <w:pPr>
        <w:pStyle w:val="Normal"/>
        <w:numPr>
          <w:ilvl w:val="0"/>
          <w:numId w:val="6"/>
        </w:numPr>
        <w:rPr/>
      </w:pPr>
      <w:r>
        <w:rPr/>
        <w:t>The EU received a pledge that developed countries will refrain from using JI or CDM credits from nuclear projects.  The EU also received a relatively favorable deal on liability, which requires Annex I countries to keep a significant part of their assigned amount in a “commitment period reserve” in order to guard against the risk of over-selling.  To win agreement from the G-77, the EU made a pledge of significant funding under the Convention.  To win agreement from the Umbrella Group (specifically, Japan, Russia and Australia), the EU put off the question as to whether the compliance system would involve binding consequences, dropped its demands for quantitative limits (“concrete ceilings”) on the use of the mechanisms, and agreed to allow significant credits for sink activities and projects.</w:t>
      </w:r>
    </w:p>
    <w:p>
      <w:pPr>
        <w:pStyle w:val="Normal"/>
        <w:numPr>
          <w:ilvl w:val="0"/>
          <w:numId w:val="6"/>
        </w:numPr>
        <w:rPr/>
      </w:pPr>
      <w:r>
        <w:rPr/>
        <w:t>The Umbrella Group got a purely qualitative formulation of supplementarity (i.e., “significant”) and significant sink credits under Article 3.4 for forest and cropland management, but settled for a more restrictive result on liability and a minority of Annex I members on the compliance enforcement body.</w:t>
      </w:r>
    </w:p>
    <w:p>
      <w:pPr>
        <w:pStyle w:val="Normal"/>
        <w:rPr>
          <w:b/>
        </w:rPr>
      </w:pPr>
      <w:r>
        <w:rPr>
          <w:b/>
        </w:rPr>
      </w:r>
    </w:p>
    <w:p>
      <w:pPr>
        <w:pStyle w:val="Normal"/>
        <w:rPr/>
      </w:pPr>
      <w:r>
        <w:rPr/>
        <w:t xml:space="preserve">The United States played a relatively peripheral role.  Prior to the meeting, it had said that it would work constructively and not block agreement on the Kyoto rules, but would defend U.S. interests as a party to the Framework Convention and would seek to prevent decisions that established bad legal precedents for other international regimes.  However, as a result of the President’s rejection of the Kyoto process, his failure to put forward an alternative approach, and his statements prior to the Bonn meeting that the U.S. would not block Kyoto from going forward, U.S. influence was at an all-time low and the United States prevailed on very few of its quite limited set of issues.  The final text established three new funds for developing countries, which the United States had opposed, and gave non-Annex I countries a majority on the enforcement branch.  In conjunction with other Umbrella Group members, the United States did succeed in distinguishing Convention from Protocol funding, ensuring that all new funding would be voluntary, and achieving a compliance penalty that is generally restorative rather than punitive. </w:t>
      </w:r>
    </w:p>
    <w:p>
      <w:pPr>
        <w:pStyle w:val="Normal"/>
        <w:rPr/>
      </w:pPr>
      <w:r>
        <w:rPr/>
      </w:r>
    </w:p>
    <w:p>
      <w:pPr>
        <w:pStyle w:val="Normal"/>
        <w:rPr/>
      </w:pPr>
      <w:r>
        <w:rPr/>
        <w:t>The compromise package addresses most of the key political issues relating to Kyoto implementation, but leaves unresolved many more technical issues that will play a significant role in determining the practicability and efficiency of the Kyoto flexibility mechanisms.  The negotiation of these more detailed, technical rules will continue during the remainder of COP-6 bis and may spill over to COP-7 in Marrakesh.</w:t>
      </w:r>
    </w:p>
    <w:p>
      <w:pPr>
        <w:pStyle w:val="Normal"/>
        <w:rPr/>
      </w:pPr>
      <w:r>
        <w:rPr/>
      </w:r>
    </w:p>
    <w:p>
      <w:pPr>
        <w:pStyle w:val="Normal"/>
        <w:rPr/>
      </w:pPr>
      <w:r>
        <w:rPr/>
        <w:t>Although all countries except the United States hailed the agreement as a major political breakthrough, some ambiguity remains as to how quickly Japan will move ahead with ratification – in particular, whether it will await completion of the decisions containing the detailed Kyoto rules.  By the end of the meeting, the United States was more isolated than ever, although many countries in their concluding statements spoke of the need to leave the door open for the United States.</w:t>
      </w:r>
    </w:p>
    <w:p>
      <w:pPr>
        <w:pStyle w:val="Normal"/>
        <w:rPr>
          <w:b/>
        </w:rPr>
      </w:pPr>
      <w:r>
        <w:rPr>
          <w:b/>
        </w:rPr>
      </w:r>
    </w:p>
    <w:p>
      <w:pPr>
        <w:pStyle w:val="Normal"/>
        <w:rPr>
          <w:b/>
        </w:rPr>
      </w:pPr>
      <w:r>
        <w:rPr>
          <w:b/>
        </w:rPr>
        <w:t>Chronology</w:t>
      </w:r>
    </w:p>
    <w:p>
      <w:pPr>
        <w:pStyle w:val="Normal"/>
        <w:rPr>
          <w:b/>
        </w:rPr>
      </w:pPr>
      <w:r>
        <w:rPr>
          <w:b/>
        </w:rPr>
      </w:r>
    </w:p>
    <w:p>
      <w:pPr>
        <w:pStyle w:val="BodyText"/>
        <w:rPr/>
      </w:pPr>
      <w:r>
        <w:rPr/>
        <w:t>The high-level segment of COP-6 bis was preceded by three days of informal negotiations, running from July 16 to July19.   These informal negotiations were organized into four groups addressing:</w:t>
      </w:r>
    </w:p>
    <w:p>
      <w:pPr>
        <w:pStyle w:val="Normal"/>
        <w:rPr/>
      </w:pPr>
      <w:r>
        <w:rPr/>
      </w:r>
    </w:p>
    <w:p>
      <w:pPr>
        <w:pStyle w:val="Normal"/>
        <w:numPr>
          <w:ilvl w:val="0"/>
          <w:numId w:val="11"/>
        </w:numPr>
        <w:tabs>
          <w:tab w:val="clear" w:pos="720"/>
          <w:tab w:val="left" w:pos="1140" w:leader="none"/>
        </w:tabs>
        <w:ind w:hanging="360" w:start="1140" w:end="0"/>
        <w:rPr/>
      </w:pPr>
      <w:r>
        <w:rPr>
          <w:i/>
        </w:rPr>
        <w:t>Finance</w:t>
      </w:r>
      <w:r>
        <w:rPr/>
        <w:t xml:space="preserve"> (including capacity building, technology transfer, 4.8/4.9 and 3.14, and GEF guidance), chaired by John Ashe (Antigua and Barbuda) and Andrej Kranjc (Slovenia)</w:t>
      </w:r>
    </w:p>
    <w:p>
      <w:pPr>
        <w:pStyle w:val="Normal"/>
        <w:numPr>
          <w:ilvl w:val="0"/>
          <w:numId w:val="11"/>
        </w:numPr>
        <w:tabs>
          <w:tab w:val="clear" w:pos="720"/>
          <w:tab w:val="left" w:pos="1140" w:leader="none"/>
        </w:tabs>
        <w:ind w:hanging="360" w:start="1140" w:end="0"/>
        <w:rPr/>
      </w:pPr>
      <w:r>
        <w:rPr>
          <w:i/>
        </w:rPr>
        <w:t>Mechanisms</w:t>
      </w:r>
      <w:r>
        <w:rPr/>
        <w:t>, chaired by Raul Estrada (Argentina) and Chow Kok Kee (Malaysia)</w:t>
      </w:r>
    </w:p>
    <w:p>
      <w:pPr>
        <w:pStyle w:val="Normal"/>
        <w:numPr>
          <w:ilvl w:val="0"/>
          <w:numId w:val="11"/>
        </w:numPr>
        <w:tabs>
          <w:tab w:val="clear" w:pos="720"/>
          <w:tab w:val="left" w:pos="1140" w:leader="none"/>
        </w:tabs>
        <w:ind w:hanging="360" w:start="1140" w:end="0"/>
        <w:rPr>
          <w:i/>
          <w:i/>
        </w:rPr>
      </w:pPr>
      <w:r>
        <w:rPr>
          <w:i/>
        </w:rPr>
        <w:t>Sinks</w:t>
      </w:r>
      <w:r>
        <w:rPr/>
        <w:t>, chaired by Harald Dovland (Norway) and Philip Gwange (Uganda</w:t>
      </w:r>
      <w:r>
        <w:rPr>
          <w:i/>
        </w:rPr>
        <w:t>)</w:t>
      </w:r>
    </w:p>
    <w:p>
      <w:pPr>
        <w:pStyle w:val="Normal"/>
        <w:numPr>
          <w:ilvl w:val="0"/>
          <w:numId w:val="11"/>
        </w:numPr>
        <w:tabs>
          <w:tab w:val="clear" w:pos="720"/>
          <w:tab w:val="left" w:pos="1140" w:leader="none"/>
        </w:tabs>
        <w:ind w:hanging="360" w:start="1140" w:end="0"/>
        <w:rPr/>
      </w:pPr>
      <w:r>
        <w:rPr>
          <w:i/>
        </w:rPr>
        <w:t>Compliance</w:t>
      </w:r>
      <w:r>
        <w:rPr/>
        <w:t>, chaired by Harald Dovland (Norway) and Neroni Slade (Samoa).</w:t>
      </w:r>
    </w:p>
    <w:p>
      <w:pPr>
        <w:pStyle w:val="Normal"/>
        <w:rPr>
          <w:i/>
          <w:i/>
        </w:rPr>
      </w:pPr>
      <w:r>
        <w:rPr>
          <w:i/>
        </w:rPr>
      </w:r>
    </w:p>
    <w:p>
      <w:pPr>
        <w:pStyle w:val="Normal"/>
        <w:rPr/>
      </w:pPr>
      <w:r>
        <w:rPr/>
        <w:t>The primary purpose of these preliminary negotiations was to identify and clarify the main political issues and options for the high-level segment of the meeting.  In addition,  the finance group completed work on the decision texts dealing with capacity building, technology transfer, and GEF guidance, and the mechanisms group organized two technical sub-groups that finalized some of the decision language relating to eligibility requirements, joint implementation, additionality/baselines, small-scale CDM projects, environmental impact assessment and public participation.</w:t>
      </w:r>
    </w:p>
    <w:p>
      <w:pPr>
        <w:pStyle w:val="Normal"/>
        <w:rPr/>
      </w:pPr>
      <w:r>
        <w:rPr/>
      </w:r>
    </w:p>
    <w:p>
      <w:pPr>
        <w:pStyle w:val="Normal"/>
        <w:rPr/>
      </w:pPr>
      <w:r>
        <w:rPr/>
        <w:t>During the high-level segment, Pronk initially established a “small” group consisting of 35 countries (19 from the G-77, 6 from the Umbrella Group, 5 from the EU, 3 from CG-11 (the Eastern European bloc), 1 from the Environmental Integrity Group, and 1 from the Central Asia group), with an additional 70 seats for observers from the various groups.  The Pronk Group met on Friday and Saturday morning (July 20-21).  On the basis of these discussions (as well as informal consultations held by facilitators appointed by Pronk), Pronk prepared a package deal that he presented late Saturday night.</w:t>
      </w:r>
    </w:p>
    <w:p>
      <w:pPr>
        <w:pStyle w:val="Normal"/>
        <w:rPr/>
      </w:pPr>
      <w:r>
        <w:rPr/>
      </w:r>
    </w:p>
    <w:p>
      <w:pPr>
        <w:pStyle w:val="Normal"/>
        <w:rPr/>
      </w:pPr>
      <w:r>
        <w:rPr/>
        <w:t>In response to the Pronk paper, the EU seized the initiative by indicating that, although it had concerns about various aspects of the paper, it could accept the proposal as a compromise package, if other groups also accepted it unchanged.  The Environmental Integrity Group and CG-11 accepted the text on this basis, as well as three members of the Umbrella Group (Norway, New Zealand, and Iceland).  However, four members of the Umbrella Group countries (Japan, Canada, Australia, and Russia) said that they had serious concerns and wanted significant changes in the text.   After lengthy discussions on Sunday morning, the G-77 said that it could accept the text as the basis of further discussions, but also left open the possibility of revisions.  Pronk refused to accept any amendments to the text, however, and instead undertook additional consultations.</w:t>
      </w:r>
    </w:p>
    <w:p>
      <w:pPr>
        <w:pStyle w:val="Normal"/>
        <w:rPr/>
      </w:pPr>
      <w:r>
        <w:rPr/>
      </w:r>
    </w:p>
    <w:p>
      <w:pPr>
        <w:pStyle w:val="Normal"/>
        <w:rPr/>
      </w:pPr>
      <w:r>
        <w:rPr/>
        <w:t>Throughout Sunday, Pronk met with the various groups.  In the evening, he reported that the primary concerns focused on the compliance text and that he would continue consultations only on that subject, leaving the proposals on finance, mechanisms and sinks unchanged (except for what he called “technical/legal corrections”).   Negotiations continued throughout the night and, on Monday morning, Pronk returned with a slightly revised text on compliance.  The plenary adopted the entire package at about noon on Monday, including the original Pronk proposals on finance, mechanisms and compliance, together with the revised compliance text.  A slightly revised text appeared on Tuesday, incorporating “technical/legal changes,” but as a result of translation problems, the plenary was unable to formally adopt the final text at the Tuesday meeting.</w:t>
      </w:r>
    </w:p>
    <w:p>
      <w:pPr>
        <w:pStyle w:val="Normal"/>
        <w:rPr/>
      </w:pPr>
      <w:r>
        <w:rPr/>
      </w:r>
    </w:p>
    <w:p>
      <w:pPr>
        <w:pStyle w:val="Normal"/>
        <w:rPr/>
      </w:pPr>
      <w:r>
        <w:rPr/>
        <w:t>With the political package completed, the four negotiating groups will reconvene for the remainder of the session to “negotiate and adopt” a “balanced package of further decisions incorporating and giving full effect” to the Pronk package.  Presumably, if work on the decision texts cannot be completed at this session, the decisions would be carried over and adopted at COP-7.</w:t>
      </w:r>
    </w:p>
    <w:p>
      <w:pPr>
        <w:pStyle w:val="Normal"/>
        <w:rPr/>
      </w:pPr>
      <w:r>
        <w:rPr/>
      </w:r>
    </w:p>
    <w:p>
      <w:pPr>
        <w:pStyle w:val="Heading1"/>
        <w:ind w:hanging="0" w:start="0"/>
        <w:rPr/>
      </w:pPr>
      <w:r>
        <w:rPr/>
        <w:t>Final package</w:t>
      </w:r>
    </w:p>
    <w:p>
      <w:pPr>
        <w:pStyle w:val="Normal"/>
        <w:rPr>
          <w:b/>
          <w:i/>
          <w:i/>
        </w:rPr>
      </w:pPr>
      <w:r>
        <w:rPr>
          <w:b/>
          <w:i/>
        </w:rPr>
      </w:r>
    </w:p>
    <w:p>
      <w:pPr>
        <w:pStyle w:val="Heading2"/>
        <w:numPr>
          <w:ilvl w:val="0"/>
          <w:numId w:val="17"/>
        </w:numPr>
        <w:rPr/>
      </w:pPr>
      <w:r>
        <w:rPr/>
        <w:t>Finance</w:t>
      </w:r>
    </w:p>
    <w:p>
      <w:pPr>
        <w:pStyle w:val="Normal"/>
        <w:rPr/>
      </w:pPr>
      <w:r>
        <w:rPr/>
      </w:r>
    </w:p>
    <w:p>
      <w:pPr>
        <w:pStyle w:val="Normal"/>
        <w:numPr>
          <w:ilvl w:val="0"/>
          <w:numId w:val="15"/>
        </w:numPr>
        <w:rPr/>
      </w:pPr>
      <w:r>
        <w:rPr/>
        <w:t>In general:</w:t>
      </w:r>
    </w:p>
    <w:p>
      <w:pPr>
        <w:pStyle w:val="Normal"/>
        <w:rPr/>
      </w:pPr>
      <w:r>
        <w:rPr/>
      </w:r>
    </w:p>
    <w:p>
      <w:pPr>
        <w:pStyle w:val="Normal"/>
        <w:numPr>
          <w:ilvl w:val="0"/>
          <w:numId w:val="16"/>
        </w:numPr>
        <w:tabs>
          <w:tab w:val="left" w:pos="720" w:leader="none"/>
        </w:tabs>
        <w:ind w:hanging="360" w:start="720" w:end="0"/>
        <w:rPr/>
      </w:pPr>
      <w:r>
        <w:rPr/>
        <w:t>The provisions relating to finance, capacity building, technology transfer, 4.8/4.9 and 3.14 affect government-to-government transfers and therefore may be of lesser concern to business.</w:t>
      </w:r>
    </w:p>
    <w:p>
      <w:pPr>
        <w:pStyle w:val="Normal"/>
        <w:numPr>
          <w:ilvl w:val="0"/>
          <w:numId w:val="16"/>
        </w:numPr>
        <w:tabs>
          <w:tab w:val="left" w:pos="720" w:leader="none"/>
        </w:tabs>
        <w:ind w:hanging="360" w:start="720" w:end="0"/>
        <w:rPr/>
      </w:pPr>
      <w:r>
        <w:rPr/>
        <w:t>The agreement establishes a more convoluted institutional structure, with three new funds, and sets a worrisome precedent that developing countries can extract considerable new financial resources simply to let Annex I countries go forward with the Kyoto Protocol.</w:t>
      </w:r>
    </w:p>
    <w:p>
      <w:pPr>
        <w:pStyle w:val="Normal"/>
        <w:rPr/>
      </w:pPr>
      <w:r>
        <w:rPr/>
      </w:r>
    </w:p>
    <w:p>
      <w:pPr>
        <w:pStyle w:val="Normal"/>
        <w:numPr>
          <w:ilvl w:val="0"/>
          <w:numId w:val="20"/>
        </w:numPr>
        <w:rPr/>
      </w:pPr>
      <w:r>
        <w:rPr/>
        <w:t xml:space="preserve">More specifically: </w:t>
      </w:r>
    </w:p>
    <w:p>
      <w:pPr>
        <w:pStyle w:val="Normal"/>
        <w:rPr/>
      </w:pPr>
      <w:r>
        <w:rPr/>
      </w:r>
    </w:p>
    <w:p>
      <w:pPr>
        <w:pStyle w:val="Normal"/>
        <w:numPr>
          <w:ilvl w:val="0"/>
          <w:numId w:val="2"/>
        </w:numPr>
        <w:tabs>
          <w:tab w:val="left" w:pos="720" w:leader="none"/>
        </w:tabs>
        <w:ind w:hanging="360" w:start="720" w:end="0"/>
        <w:rPr/>
      </w:pPr>
      <w:r>
        <w:rPr/>
        <w:t xml:space="preserve">The </w:t>
      </w:r>
      <w:r>
        <w:rPr>
          <w:u w:val="single"/>
        </w:rPr>
        <w:t>G-77</w:t>
      </w:r>
      <w:r>
        <w:rPr/>
        <w:t xml:space="preserve"> got:</w:t>
      </w:r>
    </w:p>
    <w:p>
      <w:pPr>
        <w:pStyle w:val="Normal"/>
        <w:numPr>
          <w:ilvl w:val="0"/>
          <w:numId w:val="2"/>
        </w:numPr>
        <w:tabs>
          <w:tab w:val="clear" w:pos="720"/>
          <w:tab w:val="left" w:pos="1080" w:leader="none"/>
        </w:tabs>
        <w:ind w:hanging="360" w:start="1080" w:end="0"/>
        <w:rPr/>
      </w:pPr>
      <w:r>
        <w:rPr>
          <w:u w:val="single"/>
        </w:rPr>
        <w:t>Three new funds</w:t>
      </w:r>
      <w:r>
        <w:rPr/>
        <w:t>, two under the Convention and one under the Protocol.</w:t>
      </w:r>
    </w:p>
    <w:p>
      <w:pPr>
        <w:pStyle w:val="Normal"/>
        <w:numPr>
          <w:ilvl w:val="0"/>
          <w:numId w:val="2"/>
        </w:numPr>
        <w:tabs>
          <w:tab w:val="clear" w:pos="720"/>
          <w:tab w:val="left" w:pos="1080" w:leader="none"/>
        </w:tabs>
        <w:ind w:hanging="360" w:start="1080" w:end="0"/>
        <w:rPr/>
      </w:pPr>
      <w:r>
        <w:rPr/>
        <w:t>An acknowledgment of the “need” for “</w:t>
      </w:r>
      <w:r>
        <w:rPr>
          <w:u w:val="single"/>
        </w:rPr>
        <w:t>new and additional</w:t>
      </w:r>
      <w:r>
        <w:rPr/>
        <w:t>” funding under the Convention.</w:t>
      </w:r>
    </w:p>
    <w:p>
      <w:pPr>
        <w:pStyle w:val="Normal"/>
        <w:numPr>
          <w:ilvl w:val="0"/>
          <w:numId w:val="3"/>
        </w:numPr>
        <w:tabs>
          <w:tab w:val="clear" w:pos="720"/>
          <w:tab w:val="left" w:pos="1080" w:leader="none"/>
        </w:tabs>
        <w:ind w:hanging="360" w:start="1080" w:end="0"/>
        <w:rPr/>
      </w:pPr>
      <w:r>
        <w:rPr/>
        <w:t xml:space="preserve">A </w:t>
      </w:r>
      <w:r>
        <w:rPr>
          <w:u w:val="single"/>
        </w:rPr>
        <w:t>political pledge</w:t>
      </w:r>
      <w:r>
        <w:rPr/>
        <w:t xml:space="preserve"> by the EU and several UG countries to contribute $410 million per year.   (This figure includes contributions pursuant to the GEF replenishment).  Canada joined this political pledge, but not Japan or Australia.</w:t>
      </w:r>
    </w:p>
    <w:p>
      <w:pPr>
        <w:pStyle w:val="Normal"/>
        <w:ind w:start="360" w:end="0"/>
        <w:rPr/>
      </w:pPr>
      <w:r>
        <w:rPr/>
      </w:r>
    </w:p>
    <w:p>
      <w:pPr>
        <w:pStyle w:val="Normal"/>
        <w:numPr>
          <w:ilvl w:val="0"/>
          <w:numId w:val="3"/>
        </w:numPr>
        <w:tabs>
          <w:tab w:val="left" w:pos="720" w:leader="none"/>
        </w:tabs>
        <w:ind w:hanging="360" w:start="720" w:end="0"/>
        <w:rPr/>
      </w:pPr>
      <w:r>
        <w:rPr/>
        <w:t xml:space="preserve">In addition, </w:t>
      </w:r>
      <w:r>
        <w:rPr>
          <w:u w:val="single"/>
        </w:rPr>
        <w:t>OPEC</w:t>
      </w:r>
      <w:r>
        <w:rPr/>
        <w:t xml:space="preserve"> got rather detailed language relating to 3.14 of the Kyoto Protocol, including a pledge of assistance for economic diversification.</w:t>
      </w:r>
    </w:p>
    <w:p>
      <w:pPr>
        <w:pStyle w:val="Normal"/>
        <w:rPr/>
      </w:pPr>
      <w:r>
        <w:rPr/>
      </w:r>
    </w:p>
    <w:p>
      <w:pPr>
        <w:pStyle w:val="Normal"/>
        <w:numPr>
          <w:ilvl w:val="0"/>
          <w:numId w:val="20"/>
        </w:numPr>
        <w:tabs>
          <w:tab w:val="left" w:pos="720" w:leader="none"/>
        </w:tabs>
        <w:ind w:hanging="360" w:start="720" w:end="0"/>
        <w:rPr/>
      </w:pPr>
      <w:r>
        <w:rPr/>
        <w:t xml:space="preserve">The </w:t>
      </w:r>
      <w:r>
        <w:rPr>
          <w:u w:val="single"/>
        </w:rPr>
        <w:t>Umbrella Group</w:t>
      </w:r>
      <w:r>
        <w:rPr/>
        <w:t xml:space="preserve"> (and the US) succeeded in:</w:t>
      </w:r>
    </w:p>
    <w:p>
      <w:pPr>
        <w:pStyle w:val="Normal"/>
        <w:numPr>
          <w:ilvl w:val="0"/>
          <w:numId w:val="20"/>
        </w:numPr>
        <w:tabs>
          <w:tab w:val="clear" w:pos="720"/>
          <w:tab w:val="left" w:pos="1080" w:leader="none"/>
        </w:tabs>
        <w:ind w:hanging="360" w:start="1080" w:end="0"/>
        <w:rPr/>
      </w:pPr>
      <w:r>
        <w:rPr/>
        <w:t>Clearly distinguishing Convention and Protocol funding.</w:t>
      </w:r>
    </w:p>
    <w:p>
      <w:pPr>
        <w:pStyle w:val="Normal"/>
        <w:numPr>
          <w:ilvl w:val="0"/>
          <w:numId w:val="20"/>
        </w:numPr>
        <w:tabs>
          <w:tab w:val="clear" w:pos="720"/>
          <w:tab w:val="left" w:pos="1080" w:leader="none"/>
        </w:tabs>
        <w:ind w:hanging="360" w:start="1080" w:end="0"/>
        <w:rPr/>
      </w:pPr>
      <w:r>
        <w:rPr/>
        <w:t>Ensuring that the COP decision did not mandate any new Convention funding.  Instead, all contributions are voluntary.</w:t>
      </w:r>
    </w:p>
    <w:p>
      <w:pPr>
        <w:pStyle w:val="Normal"/>
        <w:numPr>
          <w:ilvl w:val="0"/>
          <w:numId w:val="20"/>
        </w:numPr>
        <w:tabs>
          <w:tab w:val="clear" w:pos="720"/>
          <w:tab w:val="left" w:pos="1080" w:leader="none"/>
        </w:tabs>
        <w:ind w:hanging="360" w:start="1080" w:end="0"/>
        <w:rPr/>
      </w:pPr>
      <w:r>
        <w:rPr/>
        <w:t>Removing any reference to a specific funding level.  (The earlier Pronk text had set a target of $1 billion/year.)</w:t>
      </w:r>
    </w:p>
    <w:p>
      <w:pPr>
        <w:pStyle w:val="Normal"/>
        <w:numPr>
          <w:ilvl w:val="0"/>
          <w:numId w:val="10"/>
        </w:numPr>
        <w:tabs>
          <w:tab w:val="clear" w:pos="720"/>
          <w:tab w:val="left" w:pos="1080" w:leader="none"/>
        </w:tabs>
        <w:ind w:hanging="360" w:start="1080" w:end="0"/>
        <w:rPr/>
      </w:pPr>
      <w:r>
        <w:rPr/>
        <w:t>Removing any formula for allocating funding burdens among Annex II parties.  (The earlier Pronk text  had allocated funding burdens based on 1990 carbon emission levels, and penalized countries that failed to pay their share by excluding them from the various new Kyoto Protocol bodies).  However, by calling for the development of “appropriate modalities for burden sharing” among Annex II countries, the agreed text will ensure a continued debate about an appropriate formula for allocating funding burdens.</w:t>
      </w:r>
    </w:p>
    <w:p>
      <w:pPr>
        <w:pStyle w:val="Normal"/>
        <w:numPr>
          <w:ilvl w:val="0"/>
          <w:numId w:val="2"/>
        </w:numPr>
        <w:tabs>
          <w:tab w:val="clear" w:pos="720"/>
          <w:tab w:val="left" w:pos="1080" w:leader="none"/>
        </w:tabs>
        <w:ind w:hanging="360" w:start="1080" w:end="0"/>
        <w:rPr/>
      </w:pPr>
      <w:r>
        <w:rPr/>
        <w:t>Establishing the new consultative group on technology transfer as an expert group rather than an inter-governmental group, as the earlier Pronk text had done.</w:t>
      </w:r>
    </w:p>
    <w:p>
      <w:pPr>
        <w:pStyle w:val="Normal"/>
        <w:rPr/>
      </w:pPr>
      <w:r>
        <w:rPr/>
      </w:r>
    </w:p>
    <w:p>
      <w:pPr>
        <w:pStyle w:val="Normal"/>
        <w:numPr>
          <w:ilvl w:val="0"/>
          <w:numId w:val="23"/>
        </w:numPr>
        <w:tabs>
          <w:tab w:val="clear" w:pos="720"/>
          <w:tab w:val="left" w:pos="420" w:leader="none"/>
        </w:tabs>
        <w:ind w:hanging="360" w:start="420" w:end="0"/>
        <w:rPr/>
      </w:pPr>
      <w:r>
        <w:rPr/>
        <w:t xml:space="preserve">The text also provides that COP-8 will consider “the implementation </w:t>
      </w:r>
      <w:r>
        <w:rPr>
          <w:u w:val="single"/>
        </w:rPr>
        <w:t>of insurance- related actions</w:t>
      </w:r>
      <w:r>
        <w:rPr/>
        <w:t>” relating to the adverse effects of climate change and of response measures.   This text seems to revive a long-dormant AOSIS demand for insurance for climate-related damage, although no one was quite sure where the Pronk language came from or what it meant.</w:t>
      </w:r>
    </w:p>
    <w:p>
      <w:pPr>
        <w:pStyle w:val="Normal"/>
        <w:rPr/>
      </w:pPr>
      <w:r>
        <w:rPr/>
      </w:r>
    </w:p>
    <w:p>
      <w:pPr>
        <w:pStyle w:val="Normal"/>
        <w:numPr>
          <w:ilvl w:val="0"/>
          <w:numId w:val="10"/>
        </w:numPr>
        <w:rPr/>
      </w:pPr>
      <w:r>
        <w:rPr/>
        <w:t>The new funds created by the Pronk text are as follows:</w:t>
      </w:r>
    </w:p>
    <w:p>
      <w:pPr>
        <w:pStyle w:val="Normal"/>
        <w:rPr/>
      </w:pPr>
      <w:r>
        <w:rPr/>
      </w:r>
    </w:p>
    <w:p>
      <w:pPr>
        <w:pStyle w:val="Normal"/>
        <w:numPr>
          <w:ilvl w:val="0"/>
          <w:numId w:val="10"/>
        </w:numPr>
        <w:tabs>
          <w:tab w:val="left" w:pos="720" w:leader="none"/>
        </w:tabs>
        <w:ind w:hanging="360" w:start="720" w:end="0"/>
        <w:rPr/>
      </w:pPr>
      <w:r>
        <w:rPr/>
        <w:t xml:space="preserve">A UNFCCC </w:t>
      </w:r>
      <w:r>
        <w:rPr>
          <w:b/>
          <w:i/>
        </w:rPr>
        <w:t>special climate change fund</w:t>
      </w:r>
    </w:p>
    <w:p>
      <w:pPr>
        <w:pStyle w:val="Normal"/>
        <w:rPr/>
      </w:pPr>
      <w:r>
        <w:rPr/>
      </w:r>
    </w:p>
    <w:p>
      <w:pPr>
        <w:pStyle w:val="Normal"/>
        <w:numPr>
          <w:ilvl w:val="0"/>
          <w:numId w:val="10"/>
        </w:numPr>
        <w:tabs>
          <w:tab w:val="clear" w:pos="720"/>
          <w:tab w:val="left" w:pos="1080" w:leader="none"/>
        </w:tabs>
        <w:ind w:hanging="360" w:start="1080" w:end="0"/>
        <w:rPr/>
      </w:pPr>
      <w:r>
        <w:rPr/>
        <w:t>This fund will address the full gamut of issues, including adaptation, technology transfer, and 4.8/4.9.</w:t>
      </w:r>
    </w:p>
    <w:p>
      <w:pPr>
        <w:pStyle w:val="Normal"/>
        <w:numPr>
          <w:ilvl w:val="0"/>
          <w:numId w:val="10"/>
        </w:numPr>
        <w:tabs>
          <w:tab w:val="clear" w:pos="720"/>
          <w:tab w:val="left" w:pos="1080" w:leader="none"/>
        </w:tabs>
        <w:ind w:hanging="360" w:start="1080" w:end="0"/>
        <w:rPr/>
      </w:pPr>
      <w:r>
        <w:rPr/>
        <w:t>Contributions are voluntary rather than mandatory.</w:t>
      </w:r>
    </w:p>
    <w:p>
      <w:pPr>
        <w:pStyle w:val="Normal"/>
        <w:numPr>
          <w:ilvl w:val="0"/>
          <w:numId w:val="10"/>
        </w:numPr>
        <w:tabs>
          <w:tab w:val="clear" w:pos="720"/>
          <w:tab w:val="left" w:pos="1080" w:leader="none"/>
        </w:tabs>
        <w:ind w:hanging="360" w:start="1080" w:end="0"/>
        <w:rPr/>
      </w:pPr>
      <w:r>
        <w:rPr/>
        <w:t>The fund will be managed by the GEF.</w:t>
      </w:r>
    </w:p>
    <w:p>
      <w:pPr>
        <w:pStyle w:val="Normal"/>
        <w:ind w:start="720" w:end="0"/>
        <w:rPr/>
      </w:pPr>
      <w:r>
        <w:rPr/>
      </w:r>
    </w:p>
    <w:p>
      <w:pPr>
        <w:pStyle w:val="Normal"/>
        <w:numPr>
          <w:ilvl w:val="0"/>
          <w:numId w:val="18"/>
        </w:numPr>
        <w:tabs>
          <w:tab w:val="left" w:pos="720" w:leader="none"/>
        </w:tabs>
        <w:ind w:hanging="360" w:start="720" w:end="0"/>
        <w:rPr/>
      </w:pPr>
      <w:r>
        <w:rPr/>
        <w:t xml:space="preserve">A UNFCCC </w:t>
      </w:r>
      <w:r>
        <w:rPr>
          <w:b/>
          <w:i/>
        </w:rPr>
        <w:t>least developed country fund</w:t>
      </w:r>
      <w:r>
        <w:rPr/>
        <w:t xml:space="preserve"> under GEF management, in order to support National Adaptation Programmes of Action.</w:t>
      </w:r>
    </w:p>
    <w:p>
      <w:pPr>
        <w:pStyle w:val="Normal"/>
        <w:ind w:start="360" w:end="0"/>
        <w:rPr/>
      </w:pPr>
      <w:r>
        <w:rPr/>
      </w:r>
    </w:p>
    <w:p>
      <w:pPr>
        <w:pStyle w:val="Normal"/>
        <w:numPr>
          <w:ilvl w:val="0"/>
          <w:numId w:val="18"/>
        </w:numPr>
        <w:tabs>
          <w:tab w:val="left" w:pos="720" w:leader="none"/>
        </w:tabs>
        <w:ind w:hanging="720" w:start="1080" w:end="0"/>
        <w:rPr/>
      </w:pPr>
      <w:r>
        <w:rPr/>
        <w:t xml:space="preserve">A </w:t>
      </w:r>
      <w:r>
        <w:rPr>
          <w:b/>
          <w:i/>
        </w:rPr>
        <w:t>Kyoto Protocol adaptation fund</w:t>
      </w:r>
      <w:r>
        <w:rPr/>
        <w:t>.</w:t>
      </w:r>
    </w:p>
    <w:p>
      <w:pPr>
        <w:pStyle w:val="Normal"/>
        <w:numPr>
          <w:ilvl w:val="0"/>
          <w:numId w:val="18"/>
        </w:numPr>
        <w:tabs>
          <w:tab w:val="clear" w:pos="720"/>
        </w:tabs>
        <w:ind w:hanging="360" w:start="1080" w:end="0"/>
        <w:rPr/>
      </w:pPr>
      <w:r>
        <w:rPr/>
        <w:t>The adaptation fund will be funded by the CDM share of the proceeds.  Also, the decision “invites” countries intending to ratify Kyoto to make voluntary contributions.</w:t>
      </w:r>
    </w:p>
    <w:p>
      <w:pPr>
        <w:pStyle w:val="Normal"/>
        <w:numPr>
          <w:ilvl w:val="0"/>
          <w:numId w:val="18"/>
        </w:numPr>
        <w:tabs>
          <w:tab w:val="clear" w:pos="720"/>
        </w:tabs>
        <w:ind w:hanging="360" w:start="1080" w:end="0"/>
        <w:rPr/>
      </w:pPr>
      <w:r>
        <w:rPr/>
        <w:t>The fund will be managed by the GEF.</w:t>
      </w:r>
    </w:p>
    <w:p>
      <w:pPr>
        <w:pStyle w:val="Normal"/>
        <w:rPr/>
      </w:pPr>
      <w:r>
        <w:rPr/>
      </w:r>
    </w:p>
    <w:p>
      <w:pPr>
        <w:pStyle w:val="Heading2"/>
        <w:ind w:hanging="0" w:start="0"/>
        <w:rPr/>
      </w:pPr>
      <w:r>
        <w:rPr/>
        <w:t>Mechanisms</w:t>
      </w:r>
    </w:p>
    <w:p>
      <w:pPr>
        <w:pStyle w:val="Normal"/>
        <w:rPr/>
      </w:pPr>
      <w:r>
        <w:rPr/>
      </w:r>
    </w:p>
    <w:p>
      <w:pPr>
        <w:pStyle w:val="Normal"/>
        <w:rPr/>
      </w:pPr>
      <w:r>
        <w:rPr/>
        <w:t xml:space="preserve">The </w:t>
      </w:r>
      <w:r>
        <w:rPr>
          <w:u w:val="single"/>
        </w:rPr>
        <w:t>Umbrella Group</w:t>
      </w:r>
      <w:r>
        <w:rPr/>
        <w:t xml:space="preserve"> got favorable outcomes on:</w:t>
      </w:r>
    </w:p>
    <w:p>
      <w:pPr>
        <w:pStyle w:val="Normal"/>
        <w:rPr/>
      </w:pPr>
      <w:r>
        <w:rPr/>
      </w:r>
    </w:p>
    <w:p>
      <w:pPr>
        <w:pStyle w:val="Normal"/>
        <w:numPr>
          <w:ilvl w:val="0"/>
          <w:numId w:val="12"/>
        </w:numPr>
        <w:rPr>
          <w:u w:val="single"/>
        </w:rPr>
      </w:pPr>
      <w:r>
        <w:rPr>
          <w:u w:val="single"/>
        </w:rPr>
        <w:t>Supplementarity</w:t>
      </w:r>
    </w:p>
    <w:p>
      <w:pPr>
        <w:pStyle w:val="Normal"/>
        <w:numPr>
          <w:ilvl w:val="0"/>
          <w:numId w:val="12"/>
        </w:numPr>
        <w:tabs>
          <w:tab w:val="left" w:pos="720" w:leader="none"/>
        </w:tabs>
        <w:ind w:hanging="360" w:start="720" w:end="0"/>
        <w:rPr/>
      </w:pPr>
      <w:r>
        <w:rPr/>
        <w:t xml:space="preserve">Supplementarity was elaborated in </w:t>
      </w:r>
      <w:r>
        <w:rPr>
          <w:u w:val="single"/>
        </w:rPr>
        <w:t>purely qualitative</w:t>
      </w:r>
      <w:r>
        <w:rPr/>
        <w:t xml:space="preserve"> rather than quantitative terms.  The final text provides that domestic action shall be “a significant element” of the effort made by Annex I Parties to reach their targets.  In contrast, the earlier Pronk text had provided that Annex I Parties must meet their targets “chiefly” through domestic action, a term that had a more quantitative (i.e., more than half) connotation.</w:t>
      </w:r>
    </w:p>
    <w:p>
      <w:pPr>
        <w:pStyle w:val="Normal"/>
        <w:numPr>
          <w:ilvl w:val="0"/>
          <w:numId w:val="12"/>
        </w:numPr>
        <w:tabs>
          <w:tab w:val="left" w:pos="720" w:leader="none"/>
        </w:tabs>
        <w:ind w:hanging="360" w:start="720" w:end="0"/>
        <w:rPr/>
      </w:pPr>
      <w:r>
        <w:rPr/>
        <w:t xml:space="preserve">The supplementarity provisions will be </w:t>
      </w:r>
      <w:r>
        <w:rPr>
          <w:u w:val="single"/>
        </w:rPr>
        <w:t>reviewed by the facilitative branch</w:t>
      </w:r>
      <w:r>
        <w:rPr/>
        <w:t xml:space="preserve"> rather than the enforcement branch. </w:t>
      </w:r>
    </w:p>
    <w:p>
      <w:pPr>
        <w:pStyle w:val="Normal"/>
        <w:numPr>
          <w:ilvl w:val="0"/>
          <w:numId w:val="12"/>
        </w:numPr>
        <w:rPr>
          <w:u w:val="single"/>
        </w:rPr>
      </w:pPr>
      <w:r>
        <w:rPr>
          <w:u w:val="single"/>
        </w:rPr>
        <w:t>Share of proceeds</w:t>
      </w:r>
    </w:p>
    <w:p>
      <w:pPr>
        <w:pStyle w:val="Normal"/>
        <w:numPr>
          <w:ilvl w:val="0"/>
          <w:numId w:val="12"/>
        </w:numPr>
        <w:tabs>
          <w:tab w:val="left" w:pos="720" w:leader="none"/>
        </w:tabs>
        <w:ind w:hanging="360" w:start="720" w:end="0"/>
        <w:rPr/>
      </w:pPr>
      <w:r>
        <w:rPr/>
        <w:t xml:space="preserve">As in the earlier Pronk text, the share of the proceeds is set </w:t>
      </w:r>
      <w:r>
        <w:rPr>
          <w:u w:val="single"/>
        </w:rPr>
        <w:t>relatively low</w:t>
      </w:r>
      <w:r>
        <w:rPr/>
        <w:t xml:space="preserve"> (2%) and </w:t>
      </w:r>
      <w:r>
        <w:rPr>
          <w:u w:val="single"/>
        </w:rPr>
        <w:t>applies only to CDM</w:t>
      </w:r>
      <w:r>
        <w:rPr/>
        <w:t>.</w:t>
      </w:r>
    </w:p>
    <w:p>
      <w:pPr>
        <w:pStyle w:val="Normal"/>
        <w:numPr>
          <w:ilvl w:val="0"/>
          <w:numId w:val="12"/>
        </w:numPr>
        <w:rPr>
          <w:u w:val="single"/>
        </w:rPr>
      </w:pPr>
      <w:r>
        <w:rPr>
          <w:u w:val="single"/>
        </w:rPr>
        <w:t>Mechanism eligibility</w:t>
      </w:r>
    </w:p>
    <w:p>
      <w:pPr>
        <w:pStyle w:val="Normal"/>
        <w:numPr>
          <w:ilvl w:val="0"/>
          <w:numId w:val="12"/>
        </w:numPr>
        <w:tabs>
          <w:tab w:val="left" w:pos="720" w:leader="none"/>
        </w:tabs>
        <w:ind w:hanging="360" w:start="720" w:end="0"/>
        <w:rPr/>
      </w:pPr>
      <w:r>
        <w:rPr/>
        <w:t xml:space="preserve">The mechanism eligibility provisions apparently will follow the approach agreed by the UG and EU prior to COP-6 (although this approach is spelled out in the underlying decision text, which has not yet been adopted, not in the text adopted by the plenary on Monday).  The mechanisms eligibility provision also includes a requirement that countries accept the Protocol’s compliance system. </w:t>
      </w:r>
    </w:p>
    <w:p>
      <w:pPr>
        <w:pStyle w:val="Normal"/>
        <w:rPr/>
      </w:pPr>
      <w:r>
        <w:rPr/>
      </w:r>
    </w:p>
    <w:p>
      <w:pPr>
        <w:pStyle w:val="Normal"/>
        <w:rPr/>
      </w:pPr>
      <w:r>
        <w:rPr/>
        <w:t>The EU got favorable outcomes on:</w:t>
      </w:r>
    </w:p>
    <w:p>
      <w:pPr>
        <w:pStyle w:val="Normal"/>
        <w:rPr/>
      </w:pPr>
      <w:r>
        <w:rPr/>
      </w:r>
    </w:p>
    <w:p>
      <w:pPr>
        <w:pStyle w:val="Normal"/>
        <w:numPr>
          <w:ilvl w:val="0"/>
          <w:numId w:val="9"/>
        </w:numPr>
        <w:rPr>
          <w:u w:val="single"/>
        </w:rPr>
      </w:pPr>
      <w:r>
        <w:rPr>
          <w:u w:val="single"/>
        </w:rPr>
        <w:t>Nuclear</w:t>
      </w:r>
    </w:p>
    <w:p>
      <w:pPr>
        <w:pStyle w:val="Normal"/>
        <w:numPr>
          <w:ilvl w:val="0"/>
          <w:numId w:val="9"/>
        </w:numPr>
        <w:tabs>
          <w:tab w:val="left" w:pos="720" w:leader="none"/>
        </w:tabs>
        <w:ind w:hanging="360" w:start="720" w:end="0"/>
        <w:rPr/>
      </w:pPr>
      <w:r>
        <w:rPr/>
        <w:t>Although nuclear projects are not specifically excluded from either JI or CDM, the text provides that “Annex I parties are to refrain from using” credits generated from nuclear projects.  Delegations apparently differ as to whether this is a political pledge or a legal requirement, and it is likely that a country might attempt to use this provision to challenge the use of nuclear-generated JI or CDM credits for compliance purposes.</w:t>
      </w:r>
    </w:p>
    <w:p>
      <w:pPr>
        <w:pStyle w:val="Normal"/>
        <w:numPr>
          <w:ilvl w:val="0"/>
          <w:numId w:val="9"/>
        </w:numPr>
        <w:tabs>
          <w:tab w:val="left" w:pos="720" w:leader="none"/>
        </w:tabs>
        <w:ind w:hanging="360" w:start="720" w:end="0"/>
        <w:rPr>
          <w:u w:val="single"/>
        </w:rPr>
      </w:pPr>
      <w:r>
        <w:rPr>
          <w:u w:val="single"/>
        </w:rPr>
        <w:t>Fast-track for small projects</w:t>
      </w:r>
    </w:p>
    <w:p>
      <w:pPr>
        <w:pStyle w:val="Normal"/>
        <w:numPr>
          <w:ilvl w:val="0"/>
          <w:numId w:val="9"/>
        </w:numPr>
        <w:tabs>
          <w:tab w:val="clear" w:pos="720"/>
          <w:tab w:val="left" w:pos="1080" w:leader="none"/>
        </w:tabs>
        <w:ind w:hanging="360" w:start="1080" w:end="0"/>
        <w:rPr/>
      </w:pPr>
      <w:r>
        <w:rPr/>
        <w:t>Certain types of small projects (i.e., renewable and energy efficiency projects) will have the benefit of simplified modalities and procedures.</w:t>
      </w:r>
    </w:p>
    <w:p>
      <w:pPr>
        <w:pStyle w:val="Normal"/>
        <w:numPr>
          <w:ilvl w:val="0"/>
          <w:numId w:val="9"/>
        </w:numPr>
        <w:tabs>
          <w:tab w:val="left" w:pos="720" w:leader="none"/>
        </w:tabs>
        <w:ind w:hanging="360" w:start="720" w:end="0"/>
        <w:rPr/>
      </w:pPr>
      <w:r>
        <w:rPr>
          <w:u w:val="single"/>
        </w:rPr>
        <w:t>Liability</w:t>
      </w:r>
    </w:p>
    <w:p>
      <w:pPr>
        <w:pStyle w:val="Normal"/>
        <w:numPr>
          <w:ilvl w:val="0"/>
          <w:numId w:val="9"/>
        </w:numPr>
        <w:tabs>
          <w:tab w:val="clear" w:pos="720"/>
          <w:tab w:val="left" w:pos="1080" w:leader="none"/>
        </w:tabs>
        <w:ind w:hanging="360" w:start="1080" w:end="0"/>
        <w:rPr/>
      </w:pPr>
      <w:r>
        <w:rPr/>
        <w:t xml:space="preserve">Each Annex I party must establish within its registry a </w:t>
      </w:r>
      <w:r>
        <w:rPr>
          <w:u w:val="single"/>
        </w:rPr>
        <w:t>commitment period reserve</w:t>
      </w:r>
      <w:r>
        <w:rPr/>
        <w:t xml:space="preserve"> that may not fall below </w:t>
      </w:r>
      <w:r>
        <w:rPr>
          <w:u w:val="single"/>
        </w:rPr>
        <w:t>90% of their initial assigned amount</w:t>
      </w:r>
      <w:r>
        <w:rPr/>
        <w:t>, or five-times their most recently reviewed inventory, whichever is lower.  The former test allows countries whose emissions are higher than their assigned amount and who will be net buyers to trade 10% of their assigned amount.  The latter test allows countries whose emissions are projected to be below their assigned amount to sell their hot air, but not to sell assigned amount that they will need to cover their projected emissions.</w:t>
      </w:r>
    </w:p>
    <w:p>
      <w:pPr>
        <w:pStyle w:val="Normal"/>
        <w:rPr/>
      </w:pPr>
      <w:r>
        <w:rPr/>
      </w:r>
    </w:p>
    <w:p>
      <w:pPr>
        <w:pStyle w:val="Normal"/>
        <w:rPr/>
      </w:pPr>
      <w:r>
        <w:rPr/>
        <w:t>The G-77 got favorable outcomes on:</w:t>
      </w:r>
    </w:p>
    <w:p>
      <w:pPr>
        <w:pStyle w:val="Normal"/>
        <w:rPr/>
      </w:pPr>
      <w:r>
        <w:rPr/>
      </w:r>
    </w:p>
    <w:p>
      <w:pPr>
        <w:pStyle w:val="Normal"/>
        <w:numPr>
          <w:ilvl w:val="0"/>
          <w:numId w:val="14"/>
        </w:numPr>
        <w:rPr>
          <w:u w:val="single"/>
        </w:rPr>
      </w:pPr>
      <w:r>
        <w:rPr>
          <w:u w:val="single"/>
        </w:rPr>
        <w:t>Principles</w:t>
      </w:r>
    </w:p>
    <w:p>
      <w:pPr>
        <w:pStyle w:val="Normal"/>
        <w:numPr>
          <w:ilvl w:val="0"/>
          <w:numId w:val="14"/>
        </w:numPr>
        <w:tabs>
          <w:tab w:val="left" w:pos="720" w:leader="none"/>
        </w:tabs>
        <w:ind w:hanging="360" w:start="720" w:end="0"/>
        <w:rPr/>
      </w:pPr>
      <w:r>
        <w:rPr/>
        <w:t>The text recognizes that Kyoto has “not created or bestowed any right, title or entitlement to emissions” by Annex I parties.</w:t>
      </w:r>
    </w:p>
    <w:p>
      <w:pPr>
        <w:pStyle w:val="Normal"/>
        <w:numPr>
          <w:ilvl w:val="0"/>
          <w:numId w:val="14"/>
        </w:numPr>
        <w:tabs>
          <w:tab w:val="left" w:pos="720" w:leader="none"/>
        </w:tabs>
        <w:ind w:hanging="360" w:start="720" w:end="0"/>
        <w:rPr/>
      </w:pPr>
      <w:r>
        <w:rPr/>
        <w:t xml:space="preserve">Annex I parties are to implement domestic action “with a view to reducing emissions in a manner conducive to </w:t>
      </w:r>
      <w:r>
        <w:rPr>
          <w:u w:val="single"/>
        </w:rPr>
        <w:t>narrowing per capita differences</w:t>
      </w:r>
      <w:r>
        <w:rPr/>
        <w:t>” between developed and developing countries.</w:t>
      </w:r>
    </w:p>
    <w:p>
      <w:pPr>
        <w:pStyle w:val="Normal"/>
        <w:numPr>
          <w:ilvl w:val="0"/>
          <w:numId w:val="14"/>
        </w:numPr>
        <w:rPr>
          <w:u w:val="single"/>
        </w:rPr>
      </w:pPr>
      <w:r>
        <w:rPr>
          <w:u w:val="single"/>
        </w:rPr>
        <w:t>Financial additionality</w:t>
      </w:r>
    </w:p>
    <w:p>
      <w:pPr>
        <w:pStyle w:val="Normal"/>
        <w:numPr>
          <w:ilvl w:val="0"/>
          <w:numId w:val="14"/>
        </w:numPr>
        <w:tabs>
          <w:tab w:val="left" w:pos="720" w:leader="none"/>
        </w:tabs>
        <w:ind w:hanging="360" w:start="720" w:end="0"/>
        <w:rPr/>
      </w:pPr>
      <w:r>
        <w:rPr/>
        <w:t>The CDM text provides that public funding for CDM projects “is not to result in the diversion” of ODA and may not be counted towards the financial of obligations of Annex I parties.</w:t>
      </w:r>
    </w:p>
    <w:p>
      <w:pPr>
        <w:pStyle w:val="Normal"/>
        <w:numPr>
          <w:ilvl w:val="0"/>
          <w:numId w:val="14"/>
        </w:numPr>
        <w:rPr>
          <w:u w:val="single"/>
        </w:rPr>
      </w:pPr>
      <w:r>
        <w:rPr>
          <w:u w:val="single"/>
        </w:rPr>
        <w:t>CDM prompt start</w:t>
      </w:r>
    </w:p>
    <w:p>
      <w:pPr>
        <w:pStyle w:val="Normal"/>
        <w:numPr>
          <w:ilvl w:val="0"/>
          <w:numId w:val="14"/>
        </w:numPr>
        <w:tabs>
          <w:tab w:val="left" w:pos="720" w:leader="none"/>
        </w:tabs>
        <w:ind w:hanging="360" w:start="720" w:end="0"/>
        <w:rPr/>
      </w:pPr>
      <w:r>
        <w:rPr/>
        <w:t>The decision invites nominations for the CDM executive board prior to COP-7, with a view to election of the EB at COP-7.</w:t>
      </w:r>
    </w:p>
    <w:p>
      <w:pPr>
        <w:pStyle w:val="Normal"/>
        <w:numPr>
          <w:ilvl w:val="0"/>
          <w:numId w:val="14"/>
        </w:numPr>
        <w:rPr>
          <w:u w:val="single"/>
        </w:rPr>
      </w:pPr>
      <w:r>
        <w:rPr>
          <w:u w:val="single"/>
        </w:rPr>
        <w:t>Membership of Executive Board</w:t>
      </w:r>
    </w:p>
    <w:p>
      <w:pPr>
        <w:pStyle w:val="Normal"/>
        <w:numPr>
          <w:ilvl w:val="0"/>
          <w:numId w:val="14"/>
        </w:numPr>
        <w:tabs>
          <w:tab w:val="left" w:pos="720" w:leader="none"/>
        </w:tabs>
        <w:ind w:hanging="360" w:start="720" w:end="0"/>
        <w:rPr/>
      </w:pPr>
      <w:r>
        <w:rPr/>
        <w:t xml:space="preserve">As provided in the earlier Pronk text, the G-77 will have a </w:t>
      </w:r>
      <w:r>
        <w:rPr>
          <w:u w:val="single"/>
        </w:rPr>
        <w:t>6-4 majority</w:t>
      </w:r>
      <w:r>
        <w:rPr/>
        <w:t xml:space="preserve"> on the Executive Board.</w:t>
      </w:r>
    </w:p>
    <w:p>
      <w:pPr>
        <w:pStyle w:val="Normal"/>
        <w:rPr/>
      </w:pPr>
      <w:r>
        <w:rPr/>
      </w:r>
    </w:p>
    <w:p>
      <w:pPr>
        <w:pStyle w:val="Normal"/>
        <w:rPr/>
      </w:pPr>
      <w:r>
        <w:rPr/>
        <w:t xml:space="preserve">Other key provisions include the following: </w:t>
      </w:r>
    </w:p>
    <w:p>
      <w:pPr>
        <w:pStyle w:val="Normal"/>
        <w:rPr/>
      </w:pPr>
      <w:r>
        <w:rPr/>
      </w:r>
    </w:p>
    <w:p>
      <w:pPr>
        <w:pStyle w:val="Normal"/>
        <w:numPr>
          <w:ilvl w:val="0"/>
          <w:numId w:val="27"/>
        </w:numPr>
        <w:rPr>
          <w:u w:val="single"/>
        </w:rPr>
      </w:pPr>
      <w:r>
        <w:rPr>
          <w:u w:val="single"/>
        </w:rPr>
        <w:t>Joint implementation</w:t>
      </w:r>
    </w:p>
    <w:p>
      <w:pPr>
        <w:pStyle w:val="Normal"/>
        <w:numPr>
          <w:ilvl w:val="0"/>
          <w:numId w:val="24"/>
        </w:numPr>
        <w:tabs>
          <w:tab w:val="left" w:pos="720" w:leader="none"/>
        </w:tabs>
        <w:ind w:hanging="360" w:start="720" w:end="0"/>
        <w:rPr/>
      </w:pPr>
      <w:r>
        <w:rPr/>
        <w:t>The Pronk text would establish a supervisory committee to supervise the verification of JI credits.  The Pronk text leaves uncertain whether there will be two tracks for JI projects, one for countries that are in compliance with their reporting and review requirements (“budget-based JI”) and the other for countries not in compliance (“project-based JI”).</w:t>
      </w:r>
    </w:p>
    <w:p>
      <w:pPr>
        <w:pStyle w:val="Normal"/>
        <w:numPr>
          <w:ilvl w:val="0"/>
          <w:numId w:val="24"/>
        </w:numPr>
        <w:rPr/>
      </w:pPr>
      <w:r>
        <w:rPr>
          <w:u w:val="single"/>
        </w:rPr>
        <w:t>Sinks in CDM</w:t>
      </w:r>
    </w:p>
    <w:p>
      <w:pPr>
        <w:pStyle w:val="Normal"/>
        <w:numPr>
          <w:ilvl w:val="0"/>
          <w:numId w:val="24"/>
        </w:numPr>
        <w:tabs>
          <w:tab w:val="left" w:pos="720" w:leader="none"/>
        </w:tabs>
        <w:ind w:hanging="360" w:start="720" w:end="0"/>
        <w:rPr/>
      </w:pPr>
      <w:r>
        <w:rPr/>
        <w:t xml:space="preserve">Sinks projects will be allowed under the CDM, but will </w:t>
      </w:r>
      <w:r>
        <w:rPr>
          <w:u w:val="single"/>
        </w:rPr>
        <w:t xml:space="preserve">be limited to afforestation and reforestation projects </w:t>
      </w:r>
      <w:r>
        <w:rPr/>
        <w:t>during the first commitment period.  The treatment of sinks in future commitment periods will be decided as part of the second commitment period negotiations.</w:t>
      </w:r>
    </w:p>
    <w:p>
      <w:pPr>
        <w:pStyle w:val="Normal"/>
        <w:numPr>
          <w:ilvl w:val="0"/>
          <w:numId w:val="24"/>
        </w:numPr>
        <w:tabs>
          <w:tab w:val="left" w:pos="720" w:leader="none"/>
        </w:tabs>
        <w:ind w:hanging="360" w:start="720" w:end="0"/>
        <w:rPr/>
      </w:pPr>
      <w:r>
        <w:rPr/>
        <w:t xml:space="preserve">Sinks credits under CDM will be </w:t>
      </w:r>
      <w:r>
        <w:rPr>
          <w:u w:val="single"/>
        </w:rPr>
        <w:t>capped at 1% of a country’s base year emissions</w:t>
      </w:r>
      <w:r>
        <w:rPr/>
        <w:t>.  Without the United States, this means that total sinks credits will be limited to about 30 million of carbon per year.</w:t>
      </w:r>
    </w:p>
    <w:p>
      <w:pPr>
        <w:pStyle w:val="Normal"/>
        <w:numPr>
          <w:ilvl w:val="0"/>
          <w:numId w:val="24"/>
        </w:numPr>
        <w:tabs>
          <w:tab w:val="left" w:pos="720" w:leader="none"/>
        </w:tabs>
        <w:ind w:hanging="360" w:start="720" w:end="0"/>
        <w:rPr/>
      </w:pPr>
      <w:r>
        <w:rPr/>
        <w:t xml:space="preserve">SBSTA is to engage in </w:t>
      </w:r>
      <w:r>
        <w:rPr>
          <w:u w:val="single"/>
        </w:rPr>
        <w:t>further methodological work</w:t>
      </w:r>
      <w:r>
        <w:rPr/>
        <w:t xml:space="preserve"> to develop modalities for addressing the issues of permanence, additionality, leakage, scale, uncertainties, and socioeconomic and environmental impacts, for adoption at COP-8.</w:t>
      </w:r>
    </w:p>
    <w:p>
      <w:pPr>
        <w:pStyle w:val="Normal"/>
        <w:rPr/>
      </w:pPr>
      <w:r>
        <w:rPr/>
      </w:r>
    </w:p>
    <w:p>
      <w:pPr>
        <w:pStyle w:val="Normal"/>
        <w:numPr>
          <w:ilvl w:val="0"/>
          <w:numId w:val="5"/>
        </w:numPr>
        <w:rPr/>
      </w:pPr>
      <w:r>
        <w:rPr/>
        <w:t xml:space="preserve">Some key issues, such as </w:t>
      </w:r>
      <w:r>
        <w:rPr>
          <w:u w:val="single"/>
        </w:rPr>
        <w:t xml:space="preserve">fungibility </w:t>
      </w:r>
      <w:r>
        <w:rPr/>
        <w:t xml:space="preserve">and </w:t>
      </w:r>
      <w:r>
        <w:rPr>
          <w:u w:val="single"/>
        </w:rPr>
        <w:t>unilateral CDM</w:t>
      </w:r>
      <w:r>
        <w:rPr/>
        <w:t>, are not addressed in the compromise agreement, and will be presumably be taken up in the “technical” negotiations that will resume this week.</w:t>
      </w:r>
    </w:p>
    <w:p>
      <w:pPr>
        <w:pStyle w:val="Normal"/>
        <w:rPr/>
      </w:pPr>
      <w:r>
        <w:rPr/>
      </w:r>
    </w:p>
    <w:p>
      <w:pPr>
        <w:pStyle w:val="Heading2"/>
        <w:ind w:hanging="0" w:start="0"/>
        <w:rPr/>
      </w:pPr>
      <w:r>
        <w:rPr/>
        <w:t>Sinks</w:t>
      </w:r>
    </w:p>
    <w:p>
      <w:pPr>
        <w:pStyle w:val="Normal"/>
        <w:rPr/>
      </w:pPr>
      <w:r>
        <w:rPr/>
      </w:r>
    </w:p>
    <w:p>
      <w:pPr>
        <w:pStyle w:val="Normal"/>
        <w:numPr>
          <w:ilvl w:val="0"/>
          <w:numId w:val="8"/>
        </w:numPr>
        <w:rPr/>
      </w:pPr>
      <w:r>
        <w:rPr/>
        <w:t>The sinks package was perhaps the key to the entire deal.  In a negotiation reminiscent of the negotiation of Annex B of the Kyoto Protocol, the EU and G-77 agreed to give Japan and Canada a weaker target by allowing them to receive significant credits for forest management under Article 3.4.  In effect, the sinks outcome reduces Japan’s target by about 4% (from –6% to –2%) and Canada’s by about 10% (from –6% to +4%).</w:t>
      </w:r>
    </w:p>
    <w:p>
      <w:pPr>
        <w:pStyle w:val="Normal"/>
        <w:rPr/>
      </w:pPr>
      <w:r>
        <w:rPr/>
      </w:r>
    </w:p>
    <w:p>
      <w:pPr>
        <w:pStyle w:val="Normal"/>
        <w:numPr>
          <w:ilvl w:val="0"/>
          <w:numId w:val="7"/>
        </w:numPr>
        <w:rPr/>
      </w:pPr>
      <w:r>
        <w:rPr>
          <w:u w:val="single"/>
        </w:rPr>
        <w:t>Broad activities allowed</w:t>
      </w:r>
    </w:p>
    <w:p>
      <w:pPr>
        <w:pStyle w:val="Normal"/>
        <w:numPr>
          <w:ilvl w:val="0"/>
          <w:numId w:val="7"/>
        </w:numPr>
        <w:tabs>
          <w:tab w:val="left" w:pos="720" w:leader="none"/>
        </w:tabs>
        <w:ind w:hanging="360" w:start="720" w:end="0"/>
        <w:rPr/>
      </w:pPr>
      <w:r>
        <w:rPr/>
        <w:t>Broad activities will be eligible under Article 3.4, including forest management, cropland management and revegetation.</w:t>
      </w:r>
    </w:p>
    <w:p>
      <w:pPr>
        <w:pStyle w:val="Normal"/>
        <w:numPr>
          <w:ilvl w:val="0"/>
          <w:numId w:val="7"/>
        </w:numPr>
        <w:tabs>
          <w:tab w:val="left" w:pos="720" w:leader="none"/>
        </w:tabs>
        <w:ind w:hanging="360" w:start="720" w:end="0"/>
        <w:rPr/>
      </w:pPr>
      <w:r>
        <w:rPr/>
        <w:t xml:space="preserve">The decision does not specify in detail the accounting rules for sinks activities.  Although the presumption of most parties was full carbon accounting, it is possible that some countries may try to renegotiate the deal on sinks by introducing restrictive accounting rules in the “technical” negotiations that will resume this week (for example, relating to additionality or to the requirements that activities be human-induced and have occurred since 1990).  </w:t>
      </w:r>
    </w:p>
    <w:p>
      <w:pPr>
        <w:pStyle w:val="Normal"/>
        <w:rPr/>
      </w:pPr>
      <w:r>
        <w:rPr/>
      </w:r>
    </w:p>
    <w:p>
      <w:pPr>
        <w:pStyle w:val="Normal"/>
        <w:numPr>
          <w:ilvl w:val="0"/>
          <w:numId w:val="21"/>
        </w:numPr>
        <w:tabs>
          <w:tab w:val="clear" w:pos="720"/>
          <w:tab w:val="left" w:pos="420" w:leader="none"/>
        </w:tabs>
        <w:ind w:hanging="360" w:start="420" w:end="0"/>
        <w:rPr/>
      </w:pPr>
      <w:r>
        <w:rPr>
          <w:u w:val="single"/>
        </w:rPr>
        <w:t>Credits capped</w:t>
      </w:r>
    </w:p>
    <w:p>
      <w:pPr>
        <w:pStyle w:val="Normal"/>
        <w:numPr>
          <w:ilvl w:val="0"/>
          <w:numId w:val="21"/>
        </w:numPr>
        <w:tabs>
          <w:tab w:val="clear" w:pos="720"/>
          <w:tab w:val="left" w:pos="780" w:leader="none"/>
        </w:tabs>
        <w:ind w:hanging="360" w:start="780" w:end="0"/>
        <w:rPr/>
      </w:pPr>
      <w:r>
        <w:rPr/>
        <w:t>In contrast to the earlier Pronk text, there is no overall cap on sink credits from Article 3.4, JI and CDM.  Instead, there are specific limits on the various categories of Article 3.4 activities.</w:t>
      </w:r>
    </w:p>
    <w:p>
      <w:pPr>
        <w:pStyle w:val="Normal"/>
        <w:numPr>
          <w:ilvl w:val="0"/>
          <w:numId w:val="26"/>
        </w:numPr>
        <w:tabs>
          <w:tab w:val="clear" w:pos="720"/>
          <w:tab w:val="left" w:pos="780" w:leader="none"/>
        </w:tabs>
        <w:ind w:hanging="360" w:start="780" w:end="0"/>
        <w:rPr/>
      </w:pPr>
      <w:r>
        <w:rPr/>
        <w:t xml:space="preserve">For </w:t>
      </w:r>
      <w:r>
        <w:rPr>
          <w:u w:val="single"/>
        </w:rPr>
        <w:t>forest management</w:t>
      </w:r>
      <w:r>
        <w:rPr/>
        <w:t xml:space="preserve">, Appendix Z sets forth </w:t>
      </w:r>
      <w:r>
        <w:rPr>
          <w:u w:val="single"/>
        </w:rPr>
        <w:t>country-specific caps</w:t>
      </w:r>
      <w:r>
        <w:rPr/>
        <w:t xml:space="preserve"> for each Annex I country.  Japan’s forest management cap is 13 million tons (about 4% of base year emissions) and Canada’s is 12 million tons (about 10% of base year emissions).  The forest management cap applies to forest management activities undertaken under JI as well as under Article 3.4.  Appendix Z specifies a cap of 28 million tons for the United States (about 2% of base year emissions), but the United States objected to its inclusion in the Appendix on the ground that it does not intend to become a party to the Protocol.</w:t>
      </w:r>
    </w:p>
    <w:p>
      <w:pPr>
        <w:pStyle w:val="Normal"/>
        <w:numPr>
          <w:ilvl w:val="0"/>
          <w:numId w:val="26"/>
        </w:numPr>
        <w:tabs>
          <w:tab w:val="clear" w:pos="720"/>
          <w:tab w:val="left" w:pos="780" w:leader="none"/>
        </w:tabs>
        <w:ind w:hanging="360" w:start="780" w:end="0"/>
        <w:rPr/>
      </w:pPr>
      <w:r>
        <w:rPr/>
        <w:t xml:space="preserve">Credits for </w:t>
      </w:r>
      <w:r>
        <w:rPr>
          <w:u w:val="single"/>
        </w:rPr>
        <w:t>cropland management, grazing land management and revegetation</w:t>
      </w:r>
      <w:r>
        <w:rPr/>
        <w:t xml:space="preserve"> are not capped, but are subject to </w:t>
      </w:r>
      <w:r>
        <w:rPr>
          <w:u w:val="single"/>
        </w:rPr>
        <w:t>net-net accounting</w:t>
      </w:r>
      <w:r>
        <w:rPr/>
        <w:t>, as provided in the earlier Pronk text.</w:t>
      </w:r>
    </w:p>
    <w:p>
      <w:pPr>
        <w:pStyle w:val="Normal"/>
        <w:numPr>
          <w:ilvl w:val="0"/>
          <w:numId w:val="26"/>
        </w:numPr>
        <w:tabs>
          <w:tab w:val="clear" w:pos="720"/>
          <w:tab w:val="left" w:pos="780" w:leader="none"/>
        </w:tabs>
        <w:ind w:hanging="360" w:start="780" w:end="0"/>
        <w:rPr/>
      </w:pPr>
      <w:r>
        <w:rPr/>
        <w:t xml:space="preserve">As noted earlier, there is a </w:t>
      </w:r>
      <w:r>
        <w:rPr>
          <w:u w:val="single"/>
        </w:rPr>
        <w:t>separate cap for</w:t>
      </w:r>
      <w:r>
        <w:rPr/>
        <w:t xml:space="preserve"> </w:t>
      </w:r>
      <w:r>
        <w:rPr>
          <w:u w:val="single"/>
        </w:rPr>
        <w:t>CDM sinks credits</w:t>
      </w:r>
      <w:r>
        <w:rPr/>
        <w:t xml:space="preserve"> (i.e., 1% of base year emissions).</w:t>
      </w:r>
    </w:p>
    <w:p>
      <w:pPr>
        <w:pStyle w:val="Normal"/>
        <w:rPr/>
      </w:pPr>
      <w:r>
        <w:rPr/>
      </w:r>
    </w:p>
    <w:p>
      <w:pPr>
        <w:pStyle w:val="Normal"/>
        <w:numPr>
          <w:ilvl w:val="0"/>
          <w:numId w:val="28"/>
        </w:numPr>
        <w:rPr/>
      </w:pPr>
      <w:r>
        <w:rPr>
          <w:u w:val="single"/>
        </w:rPr>
        <w:t>“</w:t>
      </w:r>
      <w:r>
        <w:rPr>
          <w:u w:val="single"/>
        </w:rPr>
        <w:t>Separation”</w:t>
      </w:r>
    </w:p>
    <w:p>
      <w:pPr>
        <w:pStyle w:val="Normal"/>
        <w:numPr>
          <w:ilvl w:val="0"/>
          <w:numId w:val="28"/>
        </w:numPr>
        <w:tabs>
          <w:tab w:val="left" w:pos="720" w:leader="none"/>
        </w:tabs>
        <w:ind w:hanging="360" w:start="720" w:end="0"/>
        <w:rPr/>
      </w:pPr>
      <w:r>
        <w:rPr/>
        <w:t xml:space="preserve">The text sets forth the “principle” that accounting </w:t>
      </w:r>
      <w:r>
        <w:rPr>
          <w:u w:val="single"/>
        </w:rPr>
        <w:t>shall exclude removals due to natural effects and indirect human effects</w:t>
      </w:r>
      <w:r>
        <w:rPr/>
        <w:t xml:space="preserve"> (including carbon fertilization).  For the first commitment period, this principle is apparently operationalized by the specific limits on sinks credits set forth above.  However, in subsequent commitment periods, the EU and G-77 will likely push to operationalize this principle in a more rigorous, scientific manner – a task that may be methodologically very difficult.</w:t>
      </w:r>
    </w:p>
    <w:p>
      <w:pPr>
        <w:pStyle w:val="Normal"/>
        <w:rPr/>
      </w:pPr>
      <w:r>
        <w:rPr/>
      </w:r>
    </w:p>
    <w:p>
      <w:pPr>
        <w:pStyle w:val="Heading2"/>
        <w:ind w:hanging="0" w:start="0"/>
        <w:rPr>
          <w:u w:val="single"/>
        </w:rPr>
      </w:pPr>
      <w:r>
        <w:rPr/>
        <w:t>Compliance</w:t>
      </w:r>
    </w:p>
    <w:p>
      <w:pPr>
        <w:pStyle w:val="Normal"/>
        <w:rPr>
          <w:u w:val="single"/>
        </w:rPr>
      </w:pPr>
      <w:r>
        <w:rPr>
          <w:u w:val="single"/>
        </w:rPr>
      </w:r>
    </w:p>
    <w:p>
      <w:pPr>
        <w:pStyle w:val="Normal"/>
        <w:numPr>
          <w:ilvl w:val="0"/>
          <w:numId w:val="19"/>
        </w:numPr>
        <w:rPr/>
      </w:pPr>
      <w:r>
        <w:rPr>
          <w:u w:val="single"/>
        </w:rPr>
        <w:t>Japan, Australia and Canada</w:t>
      </w:r>
      <w:r>
        <w:rPr/>
        <w:t xml:space="preserve"> got a favorable outcome on the </w:t>
      </w:r>
      <w:r>
        <w:rPr>
          <w:u w:val="single"/>
        </w:rPr>
        <w:t>legal character</w:t>
      </w:r>
      <w:r>
        <w:rPr/>
        <w:t xml:space="preserve"> of the compliance regime.  Compliance was the final issue to be resolved on Sunday night/Monday morning, with Japan, Australia and Russia insisting that the compliance regime not be legally binding.  In the end, this issue was deferred.  The compliance procedures and mechanisms </w:t>
      </w:r>
      <w:r>
        <w:rPr>
          <w:u w:val="single"/>
        </w:rPr>
        <w:t>were adopted as a decision of the parties rather than as a separate legal instrument</w:t>
      </w:r>
      <w:r>
        <w:rPr/>
        <w:t>, implying that they are non-binding.   However, the decision also recommends that “procedures and mechanisms relating to compliance” be adopted at COP/MOP-1 “in terms of Article 18 of the Protocol,” which provides that legally-binding consequences be adopted by amendment.</w:t>
      </w:r>
    </w:p>
    <w:p>
      <w:pPr>
        <w:pStyle w:val="Normal"/>
        <w:rPr/>
      </w:pPr>
      <w:r>
        <w:rPr/>
      </w:r>
    </w:p>
    <w:p>
      <w:pPr>
        <w:pStyle w:val="Normal"/>
        <w:numPr>
          <w:ilvl w:val="0"/>
          <w:numId w:val="22"/>
        </w:numPr>
        <w:rPr/>
      </w:pPr>
      <w:r>
        <w:rPr/>
        <w:t xml:space="preserve">The </w:t>
      </w:r>
      <w:r>
        <w:rPr>
          <w:u w:val="single"/>
        </w:rPr>
        <w:t>Umbrella Group</w:t>
      </w:r>
      <w:r>
        <w:rPr/>
        <w:t xml:space="preserve"> got a relatively favorable outcome on </w:t>
      </w:r>
      <w:r>
        <w:rPr>
          <w:u w:val="single"/>
        </w:rPr>
        <w:t>compliance consequences</w:t>
      </w:r>
      <w:r>
        <w:rPr/>
        <w:t xml:space="preserve">. </w:t>
      </w:r>
    </w:p>
    <w:p>
      <w:pPr>
        <w:pStyle w:val="Normal"/>
        <w:rPr/>
      </w:pPr>
      <w:r>
        <w:rPr/>
      </w:r>
    </w:p>
    <w:p>
      <w:pPr>
        <w:pStyle w:val="Normal"/>
        <w:numPr>
          <w:ilvl w:val="0"/>
          <w:numId w:val="22"/>
        </w:numPr>
        <w:tabs>
          <w:tab w:val="left" w:pos="720" w:leader="none"/>
        </w:tabs>
        <w:ind w:hanging="360" w:start="720" w:end="0"/>
        <w:rPr/>
      </w:pPr>
      <w:r>
        <w:rPr>
          <w:u w:val="single"/>
        </w:rPr>
        <w:t>Non-punitive subtraction rate</w:t>
      </w:r>
      <w:r>
        <w:rPr/>
        <w:t xml:space="preserve"> – If a country exceeds its target, the rate for restoring the tons in the next commitment period is 1.3.  The earlier Pronk text had provided for an escalating rate starting at 1.1 and rising to 2.  The Umbrella Group had argued that the upper end of this scale would be punitive rather than restorative.</w:t>
      </w:r>
    </w:p>
    <w:p>
      <w:pPr>
        <w:pStyle w:val="Normal"/>
        <w:numPr>
          <w:ilvl w:val="0"/>
          <w:numId w:val="22"/>
        </w:numPr>
        <w:tabs>
          <w:tab w:val="left" w:pos="720" w:leader="none"/>
        </w:tabs>
        <w:ind w:hanging="360" w:start="720" w:end="0"/>
        <w:rPr/>
      </w:pPr>
      <w:r>
        <w:rPr>
          <w:u w:val="single"/>
        </w:rPr>
        <w:t>No financial payments</w:t>
      </w:r>
      <w:r>
        <w:rPr/>
        <w:t xml:space="preserve"> – The Umbrella Group succeeded in removing language (which suddenly appeared in the Pronk compromise package on Saturday night) that required financial payments to repair damage to the environment.</w:t>
      </w:r>
    </w:p>
    <w:p>
      <w:pPr>
        <w:pStyle w:val="Normal"/>
        <w:rPr>
          <w:u w:val="single"/>
        </w:rPr>
      </w:pPr>
      <w:r>
        <w:rPr>
          <w:u w:val="single"/>
        </w:rPr>
      </w:r>
    </w:p>
    <w:p>
      <w:pPr>
        <w:pStyle w:val="Normal"/>
        <w:numPr>
          <w:ilvl w:val="0"/>
          <w:numId w:val="13"/>
        </w:numPr>
        <w:tabs>
          <w:tab w:val="left" w:pos="720" w:leader="none"/>
        </w:tabs>
        <w:ind w:hanging="360" w:start="720" w:end="0"/>
        <w:rPr/>
      </w:pPr>
      <w:r>
        <w:rPr/>
        <w:t>Other compliance consequences include:</w:t>
      </w:r>
    </w:p>
    <w:p>
      <w:pPr>
        <w:pStyle w:val="Normal"/>
        <w:numPr>
          <w:ilvl w:val="0"/>
          <w:numId w:val="13"/>
        </w:numPr>
        <w:tabs>
          <w:tab w:val="clear" w:pos="720"/>
          <w:tab w:val="left" w:pos="1080" w:leader="none"/>
        </w:tabs>
        <w:ind w:hanging="360" w:start="1080" w:end="0"/>
        <w:rPr/>
      </w:pPr>
      <w:r>
        <w:rPr>
          <w:u w:val="single"/>
        </w:rPr>
        <w:t>Suspension of eligibility to transfer</w:t>
      </w:r>
      <w:r>
        <w:rPr/>
        <w:t xml:space="preserve"> tons (this was originally a US proposal)</w:t>
      </w:r>
    </w:p>
    <w:p>
      <w:pPr>
        <w:pStyle w:val="Normal"/>
        <w:numPr>
          <w:ilvl w:val="0"/>
          <w:numId w:val="22"/>
        </w:numPr>
        <w:tabs>
          <w:tab w:val="clear" w:pos="720"/>
          <w:tab w:val="left" w:pos="1080" w:leader="none"/>
        </w:tabs>
        <w:ind w:hanging="360" w:start="1080" w:end="0"/>
        <w:rPr/>
      </w:pPr>
      <w:r>
        <w:rPr/>
        <w:t xml:space="preserve">A </w:t>
      </w:r>
      <w:r>
        <w:rPr>
          <w:u w:val="single"/>
        </w:rPr>
        <w:t>compliance action plan</w:t>
      </w:r>
      <w:r>
        <w:rPr/>
        <w:t xml:space="preserve"> (CAP).  This was originally an EU proposal.  Some are concerned that the provision that the CAP give “priority to domestic policies and measures” is an effort to reintroduce supplementarity by the back door. </w:t>
      </w:r>
    </w:p>
    <w:p>
      <w:pPr>
        <w:pStyle w:val="Normal"/>
        <w:rPr/>
      </w:pPr>
      <w:r>
        <w:rPr/>
      </w:r>
    </w:p>
    <w:p>
      <w:pPr>
        <w:pStyle w:val="Normal"/>
        <w:numPr>
          <w:ilvl w:val="0"/>
          <w:numId w:val="4"/>
        </w:numPr>
        <w:rPr/>
      </w:pPr>
      <w:r>
        <w:rPr/>
        <w:t xml:space="preserve">The </w:t>
      </w:r>
      <w:r>
        <w:rPr>
          <w:u w:val="single"/>
        </w:rPr>
        <w:t>G-77</w:t>
      </w:r>
      <w:r>
        <w:rPr/>
        <w:t xml:space="preserve"> received favorable outcomes on:</w:t>
      </w:r>
    </w:p>
    <w:p>
      <w:pPr>
        <w:pStyle w:val="Normal"/>
        <w:rPr/>
      </w:pPr>
      <w:r>
        <w:rPr/>
      </w:r>
    </w:p>
    <w:p>
      <w:pPr>
        <w:pStyle w:val="Normal"/>
        <w:numPr>
          <w:ilvl w:val="0"/>
          <w:numId w:val="4"/>
        </w:numPr>
        <w:tabs>
          <w:tab w:val="left" w:pos="720" w:leader="none"/>
        </w:tabs>
        <w:ind w:hanging="360" w:start="720" w:end="0"/>
        <w:rPr/>
      </w:pPr>
      <w:r>
        <w:rPr>
          <w:u w:val="single"/>
        </w:rPr>
        <w:t>Composition</w:t>
      </w:r>
    </w:p>
    <w:p>
      <w:pPr>
        <w:pStyle w:val="Normal"/>
        <w:numPr>
          <w:ilvl w:val="0"/>
          <w:numId w:val="4"/>
        </w:numPr>
        <w:tabs>
          <w:tab w:val="clear" w:pos="720"/>
          <w:tab w:val="left" w:pos="1080" w:leader="none"/>
        </w:tabs>
        <w:ind w:hanging="360" w:start="1080" w:end="0"/>
        <w:rPr/>
      </w:pPr>
      <w:r>
        <w:rPr/>
        <w:t>The G-77 will have a majority on the enforcement as well as the facilitative branch of the Compliance Committee.  Since the enforcement branch will be reviewing the compliance only of Annex I parties, the Umbrella Group parties argued (unsuccessfully) that they have a majority on this branch.</w:t>
      </w:r>
    </w:p>
    <w:p>
      <w:pPr>
        <w:pStyle w:val="Normal"/>
        <w:numPr>
          <w:ilvl w:val="0"/>
          <w:numId w:val="4"/>
        </w:numPr>
        <w:tabs>
          <w:tab w:val="left" w:pos="720" w:leader="none"/>
        </w:tabs>
        <w:ind w:hanging="360" w:start="720" w:end="0"/>
        <w:rPr/>
      </w:pPr>
      <w:r>
        <w:rPr>
          <w:u w:val="single"/>
        </w:rPr>
        <w:t>Principles</w:t>
      </w:r>
    </w:p>
    <w:p>
      <w:pPr>
        <w:pStyle w:val="Normal"/>
        <w:numPr>
          <w:ilvl w:val="0"/>
          <w:numId w:val="4"/>
        </w:numPr>
        <w:tabs>
          <w:tab w:val="clear" w:pos="720"/>
          <w:tab w:val="left" w:pos="1080" w:leader="none"/>
        </w:tabs>
        <w:ind w:hanging="360" w:start="1080" w:end="0"/>
        <w:rPr/>
      </w:pPr>
      <w:r>
        <w:rPr/>
        <w:t xml:space="preserve">The principle of </w:t>
      </w:r>
      <w:r>
        <w:rPr>
          <w:u w:val="single"/>
        </w:rPr>
        <w:t>common but differentiated responsibilities and respective capabilities</w:t>
      </w:r>
      <w:r>
        <w:rPr/>
        <w:t xml:space="preserve"> shall be reflected in the design of the compliance system and in the mandate of the facilitative branch.  The Umbrella Group had argued that, although the Convention and Protocol provide for differentiated obligations, the compliance system should apply in an equal manner to countries with the same obligations and that therefore no further differentiation was required under the compliance system.</w:t>
      </w:r>
    </w:p>
    <w:p>
      <w:pPr>
        <w:pStyle w:val="Normal"/>
        <w:rPr/>
      </w:pPr>
      <w:r>
        <w:rPr/>
      </w:r>
    </w:p>
    <w:p>
      <w:pPr>
        <w:pStyle w:val="Normal"/>
        <w:numPr>
          <w:ilvl w:val="0"/>
          <w:numId w:val="25"/>
        </w:numPr>
        <w:rPr/>
      </w:pPr>
      <w:r>
        <w:rPr>
          <w:u w:val="single"/>
        </w:rPr>
        <w:t>Appeals process</w:t>
      </w:r>
    </w:p>
    <w:p>
      <w:pPr>
        <w:pStyle w:val="Normal"/>
        <w:numPr>
          <w:ilvl w:val="0"/>
          <w:numId w:val="25"/>
        </w:numPr>
        <w:tabs>
          <w:tab w:val="left" w:pos="720" w:leader="none"/>
        </w:tabs>
        <w:ind w:hanging="360" w:start="720" w:end="0"/>
        <w:rPr/>
      </w:pPr>
      <w:r>
        <w:rPr/>
        <w:t>In contrast to the earlier Pronk text, which did not provide for appeals, the final text provides for appeals to the COP/MOP if a party believes it has been denied due process.  The COP/MOP may override the decisions of the enforcement branch by a ¾ majority vote.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upperLetter"/>
      <w:lvlText w:val="%1."/>
      <w:lvlJc w:val="start"/>
      <w:pPr>
        <w:tabs>
          <w:tab w:val="num" w:pos="720"/>
        </w:tabs>
        <w:ind w:start="720" w:hanging="720"/>
      </w:pPr>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start w:val="1"/>
      <w:numFmt w:val="bullet"/>
      <w:lvlText w:val=""/>
      <w:lvlJc w:val="start"/>
      <w:pPr>
        <w:tabs>
          <w:tab w:val="num" w:pos="360"/>
        </w:tabs>
        <w:ind w:start="360" w:hanging="360"/>
      </w:pPr>
      <w:rPr>
        <w:rFonts w:ascii="Symbol" w:hAnsi="Symbol" w:cs="Symbol" w:hint="default"/>
      </w:rPr>
    </w:lvl>
  </w:abstractNum>
  <w:abstractNum w:abstractNumId="2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b/>
      <w:i/>
      <w:sz w:val="24"/>
    </w:rPr>
  </w:style>
  <w:style w:type="paragraph" w:styleId="Heading3">
    <w:name w:val="heading 3"/>
    <w:basedOn w:val="Normal"/>
    <w:next w:val="Normal"/>
    <w:qFormat/>
    <w:pPr>
      <w:keepNext w:val="true"/>
      <w:numPr>
        <w:ilvl w:val="2"/>
        <w:numId w:val="1"/>
      </w:numPr>
      <w:outlineLvl w:val="2"/>
    </w:pPr>
    <w:rPr>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2001-07-25T16:59:00Z</dcterms:created>
  <dc:creator>Daniel Bodansky</dc:creator>
  <dc:description/>
  <dc:language>en-CA</dc:language>
  <cp:lastModifiedBy>ljacobso</cp:lastModifiedBy>
  <dcterms:modified xsi:type="dcterms:W3CDTF">2001-07-25T16:59:00Z</dcterms:modified>
  <cp:revision>2</cp:revision>
  <dc:subject/>
  <dc:title>COP-6 bis Summary</dc:title>
</cp:coreProperties>
</file>