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CONGRESSIONAL LETTER (HOUSE)</w:t>
      </w:r>
    </w:p>
    <w:p>
      <w:pPr>
        <w:pStyle w:val="Heading1"/>
        <w:ind w:hanging="0" w:start="0"/>
        <w:rPr>
          <w:b w:val="false"/>
          <w:u w:val="single"/>
        </w:rPr>
      </w:pPr>
      <w:r>
        <w:rPr>
          <w:b w:val="false"/>
          <w:u w:val="single"/>
        </w:rPr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MEMORANDUM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Mary Lynne Whalen</w:t>
      </w:r>
    </w:p>
    <w:p>
      <w:pPr>
        <w:pStyle w:val="Normal"/>
        <w:rPr/>
      </w:pPr>
      <w:r>
        <w:rPr/>
        <w:tab/>
        <w:tab/>
        <w:t>George Baker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DATE:</w:t>
        <w:tab/>
        <w:tab/>
        <w:t>August 30,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SUBJECT:</w:t>
        <w:tab/>
        <w:t>Side by Side Comparison of the</w:t>
      </w:r>
    </w:p>
    <w:p>
      <w:pPr>
        <w:pStyle w:val="Normal"/>
        <w:rPr/>
      </w:pPr>
      <w:r>
        <w:rPr/>
        <w:tab/>
        <w:tab/>
        <w:t>Commodity Futures Modernization Act of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To facilitate your harmonization of the respective versions of the Commodity Exchange Act reported by the House Agriculture, Banking and Commerce Committees, we have attached hereto a side-by-side reflecting how each of the bills treats the various over-the-counter legal certainty issues involved in the legislation. (The side-by-side does not extend to the regulatory reform or Shad-Johnson issues.)  We hope that the fifth column of the side-by-side will be most helpful to you since it contains recommendations on how best to harmonize some of the provisions of the bills.  It is important to note that </w:t>
      </w:r>
      <w:r>
        <w:rPr>
          <w:b/>
        </w:rPr>
        <w:t>the Ad Hoc Coalition of Commercial and Investment Banks</w:t>
      </w:r>
      <w:r>
        <w:rPr/>
        <w:t xml:space="preserve"> (Chase, Citigroup, Credit Suisse First Boston, Goldman Sachs, Merrill Lynch and Morgan Stanley Dean Witter), </w:t>
      </w:r>
      <w:r>
        <w:rPr>
          <w:b/>
        </w:rPr>
        <w:t>the International Swaps and Derivatives Association</w:t>
      </w:r>
      <w:r>
        <w:rPr/>
        <w:t xml:space="preserve">, and the </w:t>
      </w:r>
      <w:r>
        <w:rPr>
          <w:b/>
        </w:rPr>
        <w:t>Chicago Board of Trade</w:t>
      </w:r>
      <w:r>
        <w:rPr/>
        <w:t xml:space="preserve"> and the </w:t>
      </w:r>
      <w:r>
        <w:rPr>
          <w:b/>
        </w:rPr>
        <w:t>Chicago Mercantile Exchange</w:t>
      </w:r>
      <w:r>
        <w:rPr/>
        <w:t xml:space="preserve"> would support a House bill which embodied these recommendations</w:t>
      </w:r>
      <w:r>
        <w:rPr>
          <w:b/>
        </w:rPr>
        <w:t>.</w:t>
      </w: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If you have any questions, please do not hesitate to call.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864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2000-08-31T17:31:00Z</dcterms:created>
  <dc:creator>Nancy J. Maher</dc:creator>
  <dc:description/>
  <dc:language>en-CA</dc:language>
  <cp:lastModifiedBy>Nancy J. Maher</cp:lastModifiedBy>
  <dcterms:modified xsi:type="dcterms:W3CDTF">2000-08-31T17:32:00Z</dcterms:modified>
  <cp:revision>1</cp:revision>
  <dc:subject/>
  <dc:title>CONGRESSIONAL LETTER (HOUSE)</dc:title>
</cp:coreProperties>
</file>