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tab/>
      </w:r>
      <w:r>
        <w:rPr>
          <w:b/>
          <w:sz w:val="28"/>
        </w:rPr>
        <w:t>THE NEWARK GROUP, INC.</w:t>
      </w:r>
    </w:p>
    <w:p>
      <w:pPr>
        <w:pStyle w:val="Normal"/>
        <w:tabs>
          <w:tab w:val="clear" w:pos="720"/>
          <w:tab w:val="center" w:pos="4680" w:leader="none"/>
        </w:tabs>
        <w:rPr>
          <w:b/>
          <w:sz w:val="28"/>
        </w:rPr>
      </w:pPr>
      <w:r>
        <w:rPr>
          <w:b/>
          <w:sz w:val="28"/>
        </w:rPr>
        <w:tab/>
        <w:t>CONFIDENTIALITY AGREEMENT</w:t>
      </w:r>
    </w:p>
    <w:p>
      <w:pPr>
        <w:pStyle w:val="Normal"/>
        <w:spacing w:lineRule="exact" w:line="19"/>
        <w:rPr>
          <w:lang w:val="en-CA" w:eastAsia="en-CA"/>
        </w:rPr>
      </w:pPr>
      <w:r>
        <w:rPr>
          <w:lang w:val="en-CA" w:eastAsia="en-CA"/>
        </w:rP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jc w:val="both"/>
        <w:rPr/>
      </w:pPr>
      <w:r>
        <w:rPr/>
      </w:r>
    </w:p>
    <w:p>
      <w:pPr>
        <w:pStyle w:val="Normal"/>
        <w:jc w:val="both"/>
        <w:rPr/>
      </w:pPr>
      <w:r>
        <w:rPr/>
        <w:t>This Agreement, made as of the 7th day of August, 2000, by and between The Newark Group, Inc., a New Jersey corporation having its principal place of business at 20 Jackson Drive, Cranford, New Jersey 07016 ("Newark"), and Enron North America Corp. (“Enron”), which has a place of business in Houston, Texas.</w:t>
      </w:r>
    </w:p>
    <w:p>
      <w:pPr>
        <w:pStyle w:val="Normal"/>
        <w:jc w:val="both"/>
        <w:rPr>
          <w:u w:val="single"/>
        </w:rPr>
      </w:pPr>
      <w:r>
        <w:rPr>
          <w:u w:val="single"/>
        </w:rPr>
        <w:t xml:space="preserve"> </w:t>
      </w:r>
    </w:p>
    <w:p>
      <w:pPr>
        <w:pStyle w:val="Heading2"/>
        <w:ind w:hanging="0" w:start="0"/>
        <w:rPr/>
      </w:pPr>
      <w:r>
        <w:rPr/>
        <w:t>Background</w:t>
      </w:r>
    </w:p>
    <w:p>
      <w:pPr>
        <w:pStyle w:val="Normal"/>
        <w:jc w:val="both"/>
        <w:rPr>
          <w:u w:val="single"/>
        </w:rPr>
      </w:pPr>
      <w:r>
        <w:rPr>
          <w:u w:val="single"/>
        </w:rPr>
      </w:r>
    </w:p>
    <w:p>
      <w:pPr>
        <w:pStyle w:val="Normal"/>
        <w:numPr>
          <w:ilvl w:val="0"/>
          <w:numId w:val="3"/>
        </w:numPr>
        <w:tabs>
          <w:tab w:val="clear" w:pos="720"/>
          <w:tab w:val="left" w:pos="540" w:leader="none"/>
        </w:tabs>
        <w:ind w:hanging="540" w:start="540" w:end="0"/>
        <w:jc w:val="both"/>
        <w:rPr/>
      </w:pPr>
      <w:r>
        <w:rPr/>
        <w:t xml:space="preserve">Newark is looking to purchase naturally gas from Enron.  In order to evaluate credit of Newark, Enron has requested Newark’s audited financial statements (FY ending 04/30/99). </w:t>
      </w:r>
    </w:p>
    <w:p>
      <w:pPr>
        <w:pStyle w:val="Normal"/>
        <w:ind w:start="720" w:end="0"/>
        <w:jc w:val="both"/>
        <w:rPr/>
      </w:pPr>
      <w:r>
        <w:rPr/>
      </w:r>
    </w:p>
    <w:p>
      <w:pPr>
        <w:pStyle w:val="Normal"/>
        <w:numPr>
          <w:ilvl w:val="0"/>
          <w:numId w:val="3"/>
        </w:numPr>
        <w:tabs>
          <w:tab w:val="clear" w:pos="720"/>
          <w:tab w:val="left" w:pos="540" w:leader="none"/>
        </w:tabs>
        <w:ind w:hanging="540" w:start="540" w:end="0"/>
        <w:jc w:val="both"/>
        <w:rPr/>
      </w:pPr>
      <w:r>
        <w:rPr/>
        <w:t>Newark desires to provide such financial information to Enron to enable Enron to perform credit evaluation.</w:t>
      </w:r>
    </w:p>
    <w:p>
      <w:pPr>
        <w:pStyle w:val="Normal"/>
        <w:jc w:val="both"/>
        <w:rPr/>
      </w:pPr>
      <w:r>
        <w:rPr/>
      </w:r>
    </w:p>
    <w:p>
      <w:pPr>
        <w:pStyle w:val="Normal"/>
        <w:jc w:val="both"/>
        <w:rPr/>
      </w:pPr>
      <w:r>
        <w:rPr/>
        <w:t>NOW THEREFORE, the parties hereby agree as follows:</w:t>
      </w:r>
    </w:p>
    <w:p>
      <w:pPr>
        <w:pStyle w:val="Normal"/>
        <w:jc w:val="both"/>
        <w:rPr/>
      </w:pPr>
      <w:r>
        <w:rPr/>
      </w:r>
    </w:p>
    <w:p>
      <w:pPr>
        <w:pStyle w:val="Level1"/>
        <w:numPr>
          <w:ilvl w:val="0"/>
          <w:numId w:val="4"/>
        </w:numPr>
        <w:ind w:hanging="0" w:start="0" w:end="0"/>
        <w:rPr/>
      </w:pPr>
      <w:r>
        <w:rPr>
          <w:b/>
          <w:u w:val="single"/>
        </w:rPr>
        <w:t>Definitions</w:t>
      </w:r>
      <w:r>
        <w:rPr/>
        <w:t xml:space="preserve">.  </w:t>
      </w:r>
    </w:p>
    <w:p>
      <w:pPr>
        <w:pStyle w:val="Normal"/>
        <w:jc w:val="both"/>
        <w:rPr/>
      </w:pPr>
      <w:r>
        <w:rPr/>
      </w:r>
    </w:p>
    <w:p>
      <w:pPr>
        <w:pStyle w:val="Level2"/>
        <w:numPr>
          <w:ilvl w:val="1"/>
          <w:numId w:val="4"/>
        </w:numPr>
        <w:tabs>
          <w:tab w:val="left" w:pos="-1440" w:leader="none"/>
          <w:tab w:val="left" w:pos="1440" w:leader="none"/>
        </w:tabs>
        <w:jc w:val="both"/>
        <w:rPr/>
      </w:pPr>
      <w:r>
        <w:rPr/>
        <w:t>"Confidential Information" shall mean any financial or pricing data or information of Newark that is competitively sensitive and not generally known to the public.</w:t>
      </w:r>
    </w:p>
    <w:p>
      <w:pPr>
        <w:pStyle w:val="Normal"/>
        <w:jc w:val="both"/>
        <w:rPr/>
      </w:pPr>
      <w:r>
        <w:rPr/>
      </w:r>
    </w:p>
    <w:p>
      <w:pPr>
        <w:pStyle w:val="Level2"/>
        <w:numPr>
          <w:ilvl w:val="1"/>
          <w:numId w:val="4"/>
        </w:numPr>
        <w:tabs>
          <w:tab w:val="left" w:pos="-1440" w:leader="none"/>
          <w:tab w:val="left" w:pos="1440" w:leader="none"/>
        </w:tabs>
        <w:jc w:val="both"/>
        <w:rPr/>
      </w:pPr>
      <w:r>
        <w:rPr/>
        <w:t>"Confidential Information" shall not include any information or data that:</w:t>
      </w:r>
    </w:p>
    <w:p>
      <w:pPr>
        <w:pStyle w:val="Level2"/>
        <w:numPr>
          <w:ilvl w:val="0"/>
          <w:numId w:val="0"/>
        </w:numPr>
        <w:tabs>
          <w:tab w:val="left" w:pos="-1440" w:leader="none"/>
        </w:tabs>
        <w:ind w:hanging="0" w:start="0"/>
        <w:jc w:val="both"/>
        <w:rPr/>
      </w:pPr>
      <w:r>
        <w:rPr/>
      </w:r>
    </w:p>
    <w:p>
      <w:pPr>
        <w:pStyle w:val="Level2"/>
        <w:numPr>
          <w:ilvl w:val="0"/>
          <w:numId w:val="2"/>
        </w:numPr>
        <w:tabs>
          <w:tab w:val="left" w:pos="-1440" w:leader="none"/>
        </w:tabs>
        <w:jc w:val="both"/>
        <w:rPr/>
      </w:pPr>
      <w:r>
        <w:rPr/>
        <w:t>are in or becomes part of the public domain by any means other than Enron’s breach of its obligations hereunder, or</w:t>
      </w:r>
    </w:p>
    <w:p>
      <w:pPr>
        <w:pStyle w:val="Level2"/>
        <w:numPr>
          <w:ilvl w:val="0"/>
          <w:numId w:val="2"/>
        </w:numPr>
        <w:tabs>
          <w:tab w:val="left" w:pos="-1440" w:leader="none"/>
        </w:tabs>
        <w:jc w:val="both"/>
        <w:rPr/>
      </w:pPr>
      <w:r>
        <w:rPr/>
        <w:t>were known to Enron at the time of disclosure by Newark, or</w:t>
      </w:r>
    </w:p>
    <w:p>
      <w:pPr>
        <w:pStyle w:val="Level2"/>
        <w:numPr>
          <w:ilvl w:val="0"/>
          <w:numId w:val="2"/>
        </w:numPr>
        <w:tabs>
          <w:tab w:val="left" w:pos="-1440" w:leader="none"/>
        </w:tabs>
        <w:jc w:val="both"/>
        <w:rPr/>
      </w:pPr>
      <w:r>
        <w:rPr/>
        <w:t>is, at any time, disclosed to Enron by any third party having the right to disclose the same.</w:t>
      </w:r>
    </w:p>
    <w:p>
      <w:pPr>
        <w:pStyle w:val="Normal"/>
        <w:jc w:val="both"/>
        <w:rPr/>
      </w:pPr>
      <w:r>
        <w:rPr/>
      </w:r>
    </w:p>
    <w:p>
      <w:pPr>
        <w:pStyle w:val="Level1"/>
        <w:numPr>
          <w:ilvl w:val="0"/>
          <w:numId w:val="4"/>
        </w:numPr>
        <w:tabs>
          <w:tab w:val="left" w:pos="-1440" w:leader="none"/>
          <w:tab w:val="left" w:pos="720" w:leader="none"/>
        </w:tabs>
        <w:jc w:val="both"/>
        <w:rPr/>
      </w:pPr>
      <w:r>
        <w:rPr>
          <w:b/>
          <w:u w:val="single"/>
        </w:rPr>
        <w:t>Confidential Information</w:t>
      </w:r>
      <w:r>
        <w:rPr/>
        <w:t>.  During the period of three (3) years from the date of this Agreement, Enron will not, directly or indirectly, use any Confidential Information except in the course of performing the evaluation hereunder for which such Confidential Information was disclosed.</w:t>
      </w:r>
    </w:p>
    <w:p>
      <w:pPr>
        <w:pStyle w:val="Normal"/>
        <w:jc w:val="both"/>
        <w:rPr/>
      </w:pPr>
      <w:r>
        <w:rPr/>
      </w:r>
    </w:p>
    <w:p>
      <w:pPr>
        <w:pStyle w:val="Level1"/>
        <w:numPr>
          <w:ilvl w:val="0"/>
          <w:numId w:val="4"/>
        </w:numPr>
        <w:tabs>
          <w:tab w:val="left" w:pos="-1440" w:leader="none"/>
          <w:tab w:val="left" w:pos="720" w:leader="none"/>
        </w:tabs>
        <w:jc w:val="both"/>
        <w:rPr/>
      </w:pPr>
      <w:r>
        <w:rPr>
          <w:b/>
          <w:u w:val="single"/>
        </w:rPr>
        <w:t>Restrictions On Use</w:t>
      </w:r>
      <w:r>
        <w:rPr/>
        <w:t>.  Enron shall not disclose any Confidential Information within its own organization or to other organizations except to the extent necessary to complete the evaluation of the same for the purposes set forth above.  Any employee or other organization that is granted access to Confidential Information shall be advised of Enron’s obligation of confidentiality and non-use hereunder and shall agree to the same.  Any Confidential Information disclosed hereunder shall be used by Enron or such other evaluating organization exclusively for the purposes of evaluation set forth above and shall not use the same for its own benefit or the benefit of any third party.</w:t>
      </w:r>
    </w:p>
    <w:p>
      <w:pPr>
        <w:pStyle w:val="Normal"/>
        <w:jc w:val="both"/>
        <w:rPr/>
      </w:pPr>
      <w:r>
        <w:rPr/>
      </w:r>
    </w:p>
    <w:p>
      <w:pPr>
        <w:pStyle w:val="Level1"/>
        <w:numPr>
          <w:ilvl w:val="0"/>
          <w:numId w:val="4"/>
        </w:numPr>
        <w:tabs>
          <w:tab w:val="left" w:pos="-1440" w:leader="none"/>
          <w:tab w:val="left" w:pos="720" w:leader="none"/>
        </w:tabs>
        <w:jc w:val="both"/>
        <w:rPr/>
      </w:pPr>
      <w:r>
        <w:rPr>
          <w:b/>
          <w:u w:val="single"/>
        </w:rPr>
        <w:t>Return Of Materials</w:t>
      </w:r>
      <w:r>
        <w:rPr/>
        <w:t>.  All materials comprising Confidential Information furnished to Enron hereunder shall be returned to Newark promptly at its request together with all copies made thereof.</w:t>
      </w:r>
    </w:p>
    <w:p>
      <w:pPr>
        <w:pStyle w:val="Normal"/>
        <w:jc w:val="both"/>
        <w:rPr/>
      </w:pPr>
      <w:r>
        <w:rPr/>
        <w:t xml:space="preserve">  </w:t>
      </w:r>
    </w:p>
    <w:p>
      <w:pPr>
        <w:pStyle w:val="Level1"/>
        <w:numPr>
          <w:ilvl w:val="0"/>
          <w:numId w:val="4"/>
        </w:numPr>
        <w:tabs>
          <w:tab w:val="left" w:pos="-1440" w:leader="none"/>
          <w:tab w:val="left" w:pos="720" w:leader="none"/>
        </w:tabs>
        <w:jc w:val="both"/>
        <w:rPr/>
      </w:pPr>
      <w:r>
        <w:rPr>
          <w:b/>
          <w:u w:val="single"/>
        </w:rPr>
        <w:t>Validity And Enforcement</w:t>
      </w:r>
      <w:r>
        <w:rPr/>
        <w:t>.  The provisions of this Agreement are separable, and the unenforceability of one or more provisions shall not affect the enforceability of any other.</w:t>
      </w:r>
    </w:p>
    <w:p>
      <w:pPr>
        <w:pStyle w:val="Normal"/>
        <w:jc w:val="both"/>
        <w:rPr/>
      </w:pPr>
      <w:r>
        <w:rPr/>
      </w:r>
    </w:p>
    <w:p>
      <w:pPr>
        <w:pStyle w:val="Level1"/>
        <w:numPr>
          <w:ilvl w:val="0"/>
          <w:numId w:val="4"/>
        </w:numPr>
        <w:tabs>
          <w:tab w:val="left" w:pos="-1440" w:leader="none"/>
          <w:tab w:val="left" w:pos="720" w:leader="none"/>
        </w:tabs>
        <w:jc w:val="both"/>
        <w:rPr/>
      </w:pPr>
      <w:r>
        <w:rPr>
          <w:b/>
          <w:u w:val="single"/>
        </w:rPr>
        <w:t>Applicable Law</w:t>
      </w:r>
      <w:r>
        <w:rPr/>
        <w:t xml:space="preserve">.  This Agreement shall be governed by and construed under the laws of the State of New Jersey without regard to the conflict of laws provisions thereof.  The federal and state courts within the State of New Jersey shall have exclusive jurisdiction to adjudicate any dispute arising out of this Agreement.  The parties hereby expressly consent to (i) the personal jurisdiction of the federal and state courts within New Jersey, (ii) service of process being effected upon them by registered mail sent to their addresses set forth at the beginning of this Agreement, and (iii) waive any objection relating to improper venue or </w:t>
      </w:r>
      <w:r>
        <w:rPr>
          <w:i/>
        </w:rPr>
        <w:t xml:space="preserve">forum non conveniens </w:t>
      </w:r>
      <w:r>
        <w:rPr/>
        <w:t>to the conduct of any proceeding in any such court.  The parties hereby waive their rights to a trial of any such action by a jury.</w:t>
      </w:r>
    </w:p>
    <w:p>
      <w:pPr>
        <w:pStyle w:val="Normal"/>
        <w:jc w:val="both"/>
        <w:rPr/>
      </w:pPr>
      <w:r>
        <w:rPr/>
      </w:r>
    </w:p>
    <w:p>
      <w:pPr>
        <w:pStyle w:val="Level1"/>
        <w:numPr>
          <w:ilvl w:val="0"/>
          <w:numId w:val="4"/>
        </w:numPr>
        <w:tabs>
          <w:tab w:val="left" w:pos="-1440" w:leader="none"/>
          <w:tab w:val="left" w:pos="720" w:leader="none"/>
        </w:tabs>
        <w:jc w:val="both"/>
        <w:rPr/>
      </w:pPr>
      <w:r>
        <w:rPr>
          <w:b/>
          <w:u w:val="single"/>
        </w:rPr>
        <w:t>Injunctive Relief</w:t>
      </w:r>
      <w:r>
        <w:rPr/>
        <w:t>.  Each party acknowledges that a remedy at law for any breach or threatened breach of the provisions of Paragraphs 2, 3, or 4 hereof would be inadequate and therefore agrees that the disclosing party shall be entitled to injunctive relief against the receiving party in case of any such breach or threatened breach.  Such temporary or permanent injunctive relief will in no way limit any other remedies Newark may have as a result of a breach by Enron of any of the covenants contained herein.</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jc w:val="both"/>
        <w:rPr/>
      </w:pPr>
      <w:r>
        <w:rPr/>
      </w:r>
    </w:p>
    <w:p>
      <w:pPr>
        <w:pStyle w:val="Normal"/>
        <w:jc w:val="both"/>
        <w:rPr/>
      </w:pPr>
      <w:r>
        <w:rPr/>
        <w:t>IN WITNESS WHEREOF, Newark and Enron have caused this instrument to be executed  by their duly authorized officers on the date and year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1440" w:leader="none"/>
              </w:tabs>
              <w:jc w:val="both"/>
              <w:rPr/>
            </w:pPr>
            <w:r>
              <w:rPr/>
              <w:t>The Newark Group, Inc.</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t>By:</w:t>
            </w:r>
            <w:r>
              <w:rPr>
                <w:u w:val="single"/>
              </w:rPr>
              <w:tab/>
              <w:tab/>
              <w:tab/>
              <w:tab/>
              <w:tab/>
            </w:r>
          </w:p>
          <w:p>
            <w:pPr>
              <w:pStyle w:val="Normal"/>
              <w:tabs>
                <w:tab w:val="clear" w:pos="720"/>
                <w:tab w:val="left" w:pos="-1440" w:leader="none"/>
              </w:tabs>
              <w:jc w:val="both"/>
              <w:rPr/>
            </w:pPr>
            <w:r>
              <w:rPr/>
              <w:t>Name:</w:t>
            </w:r>
          </w:p>
          <w:p>
            <w:pPr>
              <w:pStyle w:val="Normal"/>
              <w:tabs>
                <w:tab w:val="clear" w:pos="720"/>
                <w:tab w:val="left" w:pos="-1440" w:leader="none"/>
              </w:tabs>
              <w:jc w:val="both"/>
              <w:rPr>
                <w:u w:val="single"/>
              </w:rPr>
            </w:pPr>
            <w:r>
              <w:rPr/>
              <w:t>Title:</w:t>
            </w:r>
          </w:p>
          <w:p>
            <w:pPr>
              <w:pStyle w:val="Normal"/>
              <w:tabs>
                <w:tab w:val="clear" w:pos="720"/>
                <w:tab w:val="left" w:pos="-1440" w:leader="none"/>
              </w:tabs>
              <w:jc w:val="both"/>
              <w:rPr/>
            </w:pPr>
            <w:r>
              <w:rPr/>
              <w:t>Date:</w:t>
            </w:r>
            <w:r>
              <w:rPr>
                <w:u w:val="single"/>
              </w:rPr>
              <w:tab/>
              <w:tab/>
              <w:tab/>
              <w:tab/>
            </w:r>
          </w:p>
        </w:tc>
        <w:tc>
          <w:tcPr>
            <w:tcW w:w="4788" w:type="dxa"/>
            <w:tcBorders/>
          </w:tcPr>
          <w:p>
            <w:pPr>
              <w:pStyle w:val="Normal"/>
              <w:tabs>
                <w:tab w:val="clear" w:pos="720"/>
                <w:tab w:val="left" w:pos="-1440" w:leader="none"/>
              </w:tabs>
              <w:jc w:val="both"/>
              <w:rPr/>
            </w:pPr>
            <w:r>
              <w:rPr/>
              <w:t>Enron North America Corp.</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t>By:</w:t>
            </w:r>
            <w:r>
              <w:rPr>
                <w:u w:val="single"/>
              </w:rPr>
              <w:tab/>
              <w:tab/>
              <w:tab/>
              <w:tab/>
              <w:tab/>
            </w:r>
          </w:p>
          <w:p>
            <w:pPr>
              <w:pStyle w:val="Normal"/>
              <w:tabs>
                <w:tab w:val="clear" w:pos="720"/>
                <w:tab w:val="left" w:pos="-1440" w:leader="none"/>
              </w:tabs>
              <w:jc w:val="both"/>
              <w:rPr/>
            </w:pPr>
            <w:r>
              <w:rPr/>
              <w:t>Name:</w:t>
            </w:r>
          </w:p>
          <w:p>
            <w:pPr>
              <w:pStyle w:val="Normal"/>
              <w:tabs>
                <w:tab w:val="clear" w:pos="720"/>
                <w:tab w:val="left" w:pos="-1440" w:leader="none"/>
              </w:tabs>
              <w:jc w:val="both"/>
              <w:rPr/>
            </w:pPr>
            <w:r>
              <w:rPr/>
              <w:t>Title:</w:t>
            </w:r>
          </w:p>
          <w:p>
            <w:pPr>
              <w:pStyle w:val="Normal"/>
              <w:tabs>
                <w:tab w:val="clear" w:pos="720"/>
                <w:tab w:val="left" w:pos="-1440" w:leader="none"/>
              </w:tabs>
              <w:jc w:val="both"/>
              <w:rPr/>
            </w:pPr>
            <w:r>
              <w:rPr/>
              <w:t>Date:</w:t>
            </w:r>
            <w:r>
              <w:rPr>
                <w:u w:val="single"/>
              </w:rPr>
              <w:tab/>
              <w:tab/>
              <w:tab/>
              <w:tab/>
            </w:r>
          </w:p>
          <w:p>
            <w:pPr>
              <w:pStyle w:val="Normal"/>
              <w:tabs>
                <w:tab w:val="clear" w:pos="720"/>
                <w:tab w:val="left" w:pos="-1440" w:leader="none"/>
              </w:tabs>
              <w:jc w:val="both"/>
              <w:rPr>
                <w:u w:val="single"/>
              </w:rPr>
            </w:pPr>
            <w:r>
              <w:rPr>
                <w:u w:val="single"/>
              </w:rPr>
            </w:r>
          </w:p>
        </w:tc>
      </w:tr>
    </w:tbl>
    <w:p>
      <w:pPr>
        <w:pStyle w:val="Normal"/>
        <w:tabs>
          <w:tab w:val="clear" w:pos="720"/>
          <w:tab w:val="left" w:pos="-1440" w:leader="none"/>
        </w:tabs>
        <w:jc w:val="both"/>
        <w:rPr/>
      </w:pPr>
      <w:r>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77165"/>
              <wp:effectExtent l="0" t="0" r="0" b="0"/>
              <wp:wrapTopAndBottom/>
              <wp:docPr id="2" name="Frame1"/>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jc w:val="end"/>
                            <w:rPr/>
                          </w:pPr>
                          <w:r>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pPr>
                    <w:r>
                      <w:rPr/>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2540</wp:posOffset>
              </wp:positionV>
              <wp:extent cx="5395595" cy="177165"/>
              <wp:effectExtent l="0" t="0" r="0" b="0"/>
              <wp:wrapTopAndBottom/>
              <wp:docPr id="3" name="Frame2"/>
              <a:graphic xmlns:a="http://schemas.openxmlformats.org/drawingml/2006/main">
                <a:graphicData uri="http://schemas.microsoft.com/office/word/2010/wordprocessingShape">
                  <wps:wsp>
                    <wps:cNvSpPr txBox="1"/>
                    <wps:spPr>
                      <a:xfrm>
                        <a:off x="0" y="0"/>
                        <a:ext cx="539559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24.85pt;height:13.95pt;mso-wrap-distance-left:0pt;mso-wrap-distance-right:0pt;mso-wrap-distance-top:0pt;mso-wrap-distance-bottom:0pt;margin-top:0.2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880"/>
        </w:tabs>
        <w:ind w:start="28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lowerLetter"/>
      <w:lvlText w:val="%2."/>
      <w:lvlJc w:val="start"/>
      <w:pPr>
        <w:tabs>
          <w:tab w:val="num" w:pos="360"/>
        </w:tabs>
        <w:ind w:start="0" w:hanging="0"/>
      </w:pPr>
    </w:lvl>
    <w:lvl w:ilvl="2">
      <w:start w:val="1"/>
      <w:numFmt w:val="lowerRoman"/>
      <w:lvlText w:val="%3"/>
      <w:lvlJc w:val="start"/>
      <w:pPr>
        <w:tabs>
          <w:tab w:val="num" w:pos="72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center" w:pos="4680" w:leader="none"/>
      </w:tabs>
      <w:jc w:val="center"/>
      <w:outlineLvl w:val="1"/>
    </w:pPr>
    <w:rPr>
      <w:u w:val="single"/>
    </w:rPr>
  </w:style>
  <w:style w:type="character" w:styleId="WW8Num1z0">
    <w:name w:val="WW8Num1z0"/>
    <w:qFormat/>
    <w:rPr>
      <w:rFonts w:ascii="Times New Roman" w:hAnsi="Times New Roman" w:cs="Times New Roman"/>
      <w:sz w:val="24"/>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4"/>
      </w:numPr>
      <w:tabs>
        <w:tab w:val="clear" w:pos="720"/>
      </w:tabs>
      <w:ind w:hanging="720" w:start="720" w:end="0"/>
      <w:outlineLvl w:val="0"/>
    </w:pPr>
    <w:rPr/>
  </w:style>
  <w:style w:type="paragraph" w:styleId="Level2">
    <w:name w:val="Level 2"/>
    <w:basedOn w:val="Normal"/>
    <w:qFormat/>
    <w:pPr>
      <w:numPr>
        <w:ilvl w:val="0"/>
        <w:numId w:val="4"/>
      </w:numPr>
      <w:tabs>
        <w:tab w:val="clear" w:pos="720"/>
      </w:tabs>
      <w:ind w:hanging="720" w:start="1440" w:end="0"/>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2000-08-07T17:25:00Z</dcterms:created>
  <dc:creator>David Ascher</dc:creator>
  <dc:description/>
  <dc:language>en-CA</dc:language>
  <cp:lastModifiedBy>Joe Byrne</cp:lastModifiedBy>
  <cp:lastPrinted>1999-08-30T12:31:00Z</cp:lastPrinted>
  <dcterms:modified xsi:type="dcterms:W3CDTF">2000-08-07T17:33:00Z</dcterms:modified>
  <cp:revision>3</cp:revision>
  <dc:subject/>
  <dc:title/>
</cp:coreProperties>
</file>