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60"/>
        <w:ind w:hanging="0" w:start="0"/>
        <w:rPr>
          <w:rFonts w:ascii="Times New Roman" w:hAnsi="Times New Roman" w:cs="Times New Roman"/>
        </w:rPr>
      </w:pPr>
      <w:r>
        <w:rPr>
          <w:rFonts w:cs="Times New Roman" w:ascii="Times New Roman" w:hAnsi="Times New Roman"/>
        </w:rPr>
        <w:t>CONFIDENTIAL INFORMATION AGREEMENT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spacing w:lineRule="auto" w:line="360"/>
        <w:jc w:val="both"/>
        <w:rPr/>
      </w:pPr>
      <w:r>
        <w:rPr>
          <w:rFonts w:cs="Times New Roman" w:ascii="Times New Roman" w:hAnsi="Times New Roman"/>
        </w:rPr>
        <w:tab/>
      </w:r>
      <w:r>
        <w:rPr>
          <w:rFonts w:cs="Times New Roman" w:ascii="Times New Roman" w:hAnsi="Times New Roman"/>
          <w:b/>
        </w:rPr>
        <w:t>THIS AGREEMENT</w:t>
      </w:r>
      <w:r>
        <w:rPr>
          <w:rFonts w:cs="Times New Roman" w:ascii="Times New Roman" w:hAnsi="Times New Roman"/>
        </w:rPr>
        <w:t>, effective as of the 16</w:t>
      </w:r>
      <w:r>
        <w:rPr>
          <w:rFonts w:cs="Times New Roman" w:ascii="Times New Roman" w:hAnsi="Times New Roman"/>
          <w:vertAlign w:val="superscript"/>
        </w:rPr>
        <w:t>th</w:t>
      </w:r>
      <w:r>
        <w:rPr>
          <w:rFonts w:cs="Times New Roman" w:ascii="Times New Roman" w:hAnsi="Times New Roman"/>
        </w:rPr>
        <w:t xml:space="preserve"> day of October 2001, by and between the Whale Manufacturing &amp; Procurement, Inc, with its offices at 2855 Mangum, Suite 311, Houston, Texas 77092 (hereinafter referred to as COMPANY, and Enron North America Corp., a Delaware corporation, with its principal offices at 1400 Smith ST. Houston, Texas 77002 (hereinafter referred to as “Enron”).</w:t>
      </w:r>
    </w:p>
    <w:p>
      <w:pPr>
        <w:pStyle w:val="Normal"/>
        <w:jc w:val="both"/>
        <w:rPr>
          <w:rFonts w:ascii="Times New Roman" w:hAnsi="Times New Roman" w:cs="Times New Roman"/>
        </w:rPr>
      </w:pPr>
      <w:r>
        <w:rPr>
          <w:rFonts w:cs="Times New Roman" w:ascii="Times New Roman" w:hAnsi="Times New Roman"/>
        </w:rPr>
      </w:r>
    </w:p>
    <w:p>
      <w:pPr>
        <w:pStyle w:val="Heading1"/>
        <w:spacing w:before="0" w:after="60"/>
        <w:ind w:hanging="0" w:start="0"/>
        <w:rPr>
          <w:rFonts w:ascii="Times New Roman" w:hAnsi="Times New Roman" w:cs="Times New Roman"/>
        </w:rPr>
      </w:pPr>
      <w:r>
        <w:rPr>
          <w:rFonts w:cs="Times New Roman" w:ascii="Times New Roman" w:hAnsi="Times New Roman"/>
        </w:rPr>
        <w:t>Witnessed</w:t>
      </w:r>
    </w:p>
    <w:p>
      <w:pPr>
        <w:pStyle w:val="Normal"/>
        <w:jc w:val="both"/>
        <w:rPr>
          <w:rFonts w:ascii="Times New Roman" w:hAnsi="Times New Roman" w:cs="Times New Roman"/>
        </w:rPr>
      </w:pPr>
      <w:r>
        <w:rPr>
          <w:rFonts w:cs="Times New Roman" w:ascii="Times New Roman" w:hAnsi="Times New Roman"/>
        </w:rPr>
      </w:r>
    </w:p>
    <w:p>
      <w:pPr>
        <w:pStyle w:val="Normal"/>
        <w:spacing w:lineRule="auto" w:line="360"/>
        <w:jc w:val="both"/>
        <w:rPr/>
      </w:pPr>
      <w:r>
        <w:rPr>
          <w:rFonts w:cs="Times New Roman" w:ascii="Times New Roman" w:hAnsi="Times New Roman"/>
        </w:rPr>
        <w:tab/>
      </w:r>
      <w:r>
        <w:rPr>
          <w:rFonts w:cs="Times New Roman" w:ascii="Times New Roman" w:hAnsi="Times New Roman"/>
          <w:b/>
        </w:rPr>
        <w:t>WHEREAS</w:t>
      </w:r>
      <w:r>
        <w:rPr>
          <w:rFonts w:cs="Times New Roman" w:ascii="Times New Roman" w:hAnsi="Times New Roman"/>
        </w:rPr>
        <w:t>, COMPANY has in its possession and shall disclose to Enron certain technical &amp; financial information, know-how, and data of a secret and proprietary nature regarding a natural gas compression project (EPM 2001) in Venezuela and</w:t>
      </w:r>
    </w:p>
    <w:p>
      <w:pPr>
        <w:pStyle w:val="Normal"/>
        <w:jc w:val="both"/>
        <w:rPr>
          <w:rFonts w:ascii="Times New Roman" w:hAnsi="Times New Roman" w:cs="Times New Roman"/>
        </w:rPr>
      </w:pPr>
      <w:r>
        <w:rPr>
          <w:rFonts w:cs="Times New Roman" w:ascii="Times New Roman" w:hAnsi="Times New Roman"/>
        </w:rPr>
      </w:r>
    </w:p>
    <w:p>
      <w:pPr>
        <w:pStyle w:val="Normal"/>
        <w:spacing w:lineRule="auto" w:line="360"/>
        <w:jc w:val="both"/>
        <w:rPr/>
      </w:pPr>
      <w:r>
        <w:rPr>
          <w:rFonts w:cs="Times New Roman" w:ascii="Times New Roman" w:hAnsi="Times New Roman"/>
        </w:rPr>
        <w:tab/>
      </w:r>
      <w:r>
        <w:rPr>
          <w:rFonts w:cs="Times New Roman" w:ascii="Times New Roman" w:hAnsi="Times New Roman"/>
          <w:b/>
        </w:rPr>
        <w:t>WHEREAS</w:t>
      </w:r>
      <w:r>
        <w:rPr>
          <w:rFonts w:cs="Times New Roman" w:ascii="Times New Roman" w:hAnsi="Times New Roman"/>
        </w:rPr>
        <w:t>, Enron desires to obtain access to the Information for the purpose of providing Financial support for the EPM 2001 Project.</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r>
      <w:r>
        <w:rPr>
          <w:rFonts w:cs="Times New Roman" w:ascii="Times New Roman" w:hAnsi="Times New Roman"/>
          <w:b/>
        </w:rPr>
        <w:t>NOW THEREFORE</w:t>
      </w:r>
      <w:r>
        <w:rPr>
          <w:rFonts w:cs="Times New Roman" w:ascii="Times New Roman" w:hAnsi="Times New Roman"/>
        </w:rPr>
        <w:t>, the parties hereto agree as follows:</w:t>
      </w:r>
    </w:p>
    <w:p>
      <w:pPr>
        <w:pStyle w:val="Normal"/>
        <w:jc w:val="both"/>
        <w:rPr>
          <w:rFonts w:ascii="Times New Roman" w:hAnsi="Times New Roman" w:cs="Times New Roman"/>
        </w:rPr>
      </w:pPr>
      <w:r>
        <w:rPr>
          <w:rFonts w:cs="Times New Roman" w:ascii="Times New Roman" w:hAnsi="Times New Roman"/>
        </w:rPr>
      </w:r>
    </w:p>
    <w:p>
      <w:pPr>
        <w:pStyle w:val="Bullet-1"/>
        <w:numPr>
          <w:ilvl w:val="0"/>
          <w:numId w:val="4"/>
        </w:numPr>
        <w:spacing w:lineRule="auto" w:line="360" w:before="0" w:after="0"/>
        <w:rPr>
          <w:rFonts w:ascii="Times New Roman" w:hAnsi="Times New Roman" w:cs="Times New Roman"/>
        </w:rPr>
      </w:pPr>
      <w:r>
        <w:rPr>
          <w:rFonts w:cs="Times New Roman" w:ascii="Times New Roman" w:hAnsi="Times New Roman"/>
        </w:rPr>
        <w:t>Enron shall receive the Information in confidence and shall exercise all reasonable precautions to safeguard the confidential and proprietary nature of the Information and to prevent the unauthorized use of disclosure thereof or any part or parts thereof to any third party without COMPANY’S prior written consent.  Enron agrees that it will not use any of the Information for any purpose other than financially evaluating the EPM 2001 Project.</w:t>
      </w:r>
    </w:p>
    <w:p>
      <w:pPr>
        <w:pStyle w:val="Bullet-1"/>
        <w:numPr>
          <w:ilvl w:val="0"/>
          <w:numId w:val="4"/>
        </w:numPr>
        <w:spacing w:lineRule="auto" w:line="360"/>
        <w:rPr>
          <w:rFonts w:ascii="Times New Roman" w:hAnsi="Times New Roman" w:cs="Times New Roman"/>
        </w:rPr>
      </w:pPr>
      <w:r>
        <w:rPr>
          <w:rFonts w:cs="Times New Roman" w:ascii="Times New Roman" w:hAnsi="Times New Roman"/>
        </w:rPr>
        <w:t>The obligations of this Agreement shall apply only to Information, which is received in writing by Enron and marked or otherwise designated by COMPANY.</w:t>
      </w:r>
    </w:p>
    <w:p>
      <w:pPr>
        <w:pStyle w:val="Bullet-1"/>
        <w:numPr>
          <w:ilvl w:val="0"/>
          <w:numId w:val="4"/>
        </w:numPr>
        <w:spacing w:lineRule="auto" w:line="360"/>
        <w:rPr>
          <w:rFonts w:ascii="Times New Roman" w:hAnsi="Times New Roman" w:cs="Times New Roman"/>
        </w:rPr>
      </w:pPr>
      <w:r>
        <w:rPr>
          <w:rFonts w:cs="Times New Roman" w:ascii="Times New Roman" w:hAnsi="Times New Roman"/>
        </w:rPr>
        <w:t>The obligations of this Agreement shall terminate after the EPM Contract date hereof and shall not apply with respect to any information which:</w:t>
      </w:r>
    </w:p>
    <w:p>
      <w:pPr>
        <w:pStyle w:val="Bullet-1"/>
        <w:numPr>
          <w:ilvl w:val="1"/>
          <w:numId w:val="2"/>
        </w:numPr>
        <w:spacing w:lineRule="auto" w:line="360"/>
        <w:rPr>
          <w:rFonts w:ascii="Times New Roman" w:hAnsi="Times New Roman" w:cs="Times New Roman"/>
        </w:rPr>
      </w:pPr>
      <w:r>
        <w:rPr>
          <w:rFonts w:cs="Times New Roman" w:ascii="Times New Roman" w:hAnsi="Times New Roman"/>
        </w:rPr>
        <w:t>was in Enron’s possession prior to the disclosure hereunder, or</w:t>
      </w:r>
    </w:p>
    <w:p>
      <w:pPr>
        <w:pStyle w:val="Bullet-1"/>
        <w:numPr>
          <w:ilvl w:val="1"/>
          <w:numId w:val="2"/>
        </w:numPr>
        <w:spacing w:lineRule="auto" w:line="360" w:before="0" w:after="0"/>
        <w:rPr>
          <w:rFonts w:ascii="Times New Roman" w:hAnsi="Times New Roman" w:cs="Times New Roman"/>
        </w:rPr>
      </w:pPr>
      <w:r>
        <w:rPr>
          <w:rFonts w:cs="Times New Roman" w:ascii="Times New Roman" w:hAnsi="Times New Roman"/>
        </w:rPr>
        <w:t>is or becomes publicly available, or</w:t>
      </w:r>
    </w:p>
    <w:p>
      <w:pPr>
        <w:pStyle w:val="Bullet-1"/>
        <w:numPr>
          <w:ilvl w:val="1"/>
          <w:numId w:val="2"/>
        </w:numPr>
        <w:spacing w:lineRule="auto" w:line="360" w:before="0" w:after="0"/>
        <w:rPr>
          <w:rFonts w:ascii="Times New Roman" w:hAnsi="Times New Roman" w:cs="Times New Roman"/>
        </w:rPr>
      </w:pPr>
      <w:r>
        <w:rPr>
          <w:rFonts w:cs="Times New Roman" w:ascii="Times New Roman" w:hAnsi="Times New Roman"/>
        </w:rPr>
        <w:t>is made available to Enron by a third party who, to Enron’s knowledge, is not prohibited from disclosing the information in accordance with a confidentiality agreement with COMPANY, or</w:t>
      </w:r>
    </w:p>
    <w:p>
      <w:pPr>
        <w:pStyle w:val="Bullet-1"/>
        <w:numPr>
          <w:ilvl w:val="1"/>
          <w:numId w:val="2"/>
        </w:numPr>
        <w:spacing w:lineRule="auto" w:line="360" w:before="0" w:after="0"/>
        <w:rPr>
          <w:rFonts w:ascii="Times New Roman" w:hAnsi="Times New Roman" w:cs="Times New Roman"/>
        </w:rPr>
      </w:pPr>
      <w:r>
        <w:rPr>
          <w:rFonts w:cs="Times New Roman" w:ascii="Times New Roman" w:hAnsi="Times New Roman"/>
        </w:rPr>
        <w:t>is developed or derived by Enron without the aide, application or use of the Information, or</w:t>
      </w:r>
    </w:p>
    <w:p>
      <w:pPr>
        <w:pStyle w:val="Bullet-1"/>
        <w:numPr>
          <w:ilvl w:val="1"/>
          <w:numId w:val="2"/>
        </w:numPr>
        <w:spacing w:lineRule="auto" w:line="360" w:before="0" w:after="0"/>
        <w:rPr>
          <w:rFonts w:ascii="Times New Roman" w:hAnsi="Times New Roman" w:cs="Times New Roman"/>
        </w:rPr>
      </w:pPr>
      <w:r>
        <w:rPr>
          <w:rFonts w:cs="Times New Roman" w:ascii="Times New Roman" w:hAnsi="Times New Roman"/>
        </w:rPr>
        <w:t>Enron is advised by legal counsel and is required to be disclosed by law or by legal process.</w:t>
      </w:r>
    </w:p>
    <w:p>
      <w:pPr>
        <w:sectPr>
          <w:footerReference w:type="default" r:id="rId2"/>
          <w:footerReference w:type="first" r:id="rId3"/>
          <w:type w:val="nextPage"/>
          <w:pgSz w:w="12240" w:h="15840"/>
          <w:pgMar w:left="1440" w:right="1440" w:gutter="0" w:header="0" w:top="1080" w:footer="720" w:bottom="1080"/>
          <w:pgNumType w:fmt="decimal"/>
          <w:formProt w:val="false"/>
          <w:titlePg/>
          <w:textDirection w:val="lrTb"/>
          <w:docGrid w:type="default" w:linePitch="360" w:charSpace="0"/>
        </w:sectPr>
      </w:pPr>
    </w:p>
    <w:p>
      <w:pPr>
        <w:pStyle w:val="Bullet-1"/>
        <w:numPr>
          <w:ilvl w:val="0"/>
          <w:numId w:val="0"/>
        </w:numPr>
        <w:spacing w:before="0" w:after="0"/>
        <w:ind w:hanging="0" w:start="360" w:end="0"/>
        <w:rPr>
          <w:rFonts w:ascii="Times New Roman" w:hAnsi="Times New Roman" w:cs="Times New Roman"/>
        </w:rPr>
      </w:pPr>
      <w:r>
        <w:rPr>
          <w:rFonts w:cs="Times New Roman" w:ascii="Times New Roman" w:hAnsi="Times New Roman"/>
        </w:rPr>
      </w:r>
    </w:p>
    <w:p>
      <w:pPr>
        <w:pStyle w:val="Bullet-1"/>
        <w:numPr>
          <w:ilvl w:val="0"/>
          <w:numId w:val="3"/>
        </w:numPr>
        <w:spacing w:lineRule="auto" w:line="360" w:before="0" w:after="0"/>
        <w:rPr>
          <w:rFonts w:ascii="Times New Roman" w:hAnsi="Times New Roman" w:cs="Times New Roman"/>
        </w:rPr>
      </w:pPr>
      <w:r>
        <w:rPr>
          <w:rFonts w:cs="Times New Roman" w:ascii="Times New Roman" w:hAnsi="Times New Roman"/>
        </w:rPr>
        <w:t>No license is granted by the COMPANY to Enron in relation to the Information or the information contained therein.</w:t>
      </w:r>
    </w:p>
    <w:p>
      <w:pPr>
        <w:pStyle w:val="Bullet-1"/>
        <w:numPr>
          <w:ilvl w:val="0"/>
          <w:numId w:val="3"/>
        </w:numPr>
        <w:spacing w:lineRule="auto" w:line="360"/>
        <w:rPr>
          <w:rFonts w:ascii="Times New Roman" w:hAnsi="Times New Roman" w:cs="Times New Roman"/>
        </w:rPr>
      </w:pPr>
      <w:r>
        <w:rPr>
          <w:rFonts w:cs="Times New Roman" w:ascii="Times New Roman" w:hAnsi="Times New Roman"/>
        </w:rPr>
        <w:t>Enron shall return the Information to COMPANY upon written demand and shall not copy or reproduce the Information in whole or in part without COMPANY’S written permission.</w:t>
      </w:r>
    </w:p>
    <w:p>
      <w:pPr>
        <w:pStyle w:val="Bullet-1"/>
        <w:numPr>
          <w:ilvl w:val="0"/>
          <w:numId w:val="3"/>
        </w:numPr>
        <w:spacing w:lineRule="auto" w:line="360"/>
        <w:rPr>
          <w:rFonts w:ascii="Times New Roman" w:hAnsi="Times New Roman" w:cs="Times New Roman"/>
        </w:rPr>
      </w:pPr>
      <w:r>
        <w:rPr>
          <w:rFonts w:cs="Times New Roman" w:ascii="Times New Roman" w:hAnsi="Times New Roman"/>
        </w:rPr>
        <w:t>In the event of a breach or threatened breach of this Agreement by Enron, COMPANY shall be entitled to an injunction restraining Enron from disclosing, in whole or in part, any Information, or from utilizing the Information in its dealings with any entity other than COMPANY.  In the event that COMPANY should bring an action for injunctive relief, the parties hereto stipulate that COMPANY might be irreparably harmed by Enron’s disclosure or misuse of such Information and might have no adequate remedy at law.  However, nothing herein shall be construed as precluding COMPANY from pursuing any other remedies available to it, at law or in equity.</w:t>
      </w:r>
    </w:p>
    <w:p>
      <w:pPr>
        <w:pStyle w:val="Bullet-1"/>
        <w:numPr>
          <w:ilvl w:val="0"/>
          <w:numId w:val="0"/>
        </w:numPr>
        <w:spacing w:before="0" w:after="0"/>
        <w:ind w:hanging="0" w:start="360" w:end="0"/>
        <w:rPr>
          <w:rFonts w:ascii="Times New Roman" w:hAnsi="Times New Roman" w:cs="Times New Roman"/>
        </w:rPr>
      </w:pPr>
      <w:r>
        <w:rPr>
          <w:rFonts w:cs="Times New Roman" w:ascii="Times New Roman" w:hAnsi="Times New Roman"/>
        </w:rPr>
      </w:r>
    </w:p>
    <w:p>
      <w:pPr>
        <w:pStyle w:val="Bullet-1"/>
        <w:numPr>
          <w:ilvl w:val="0"/>
          <w:numId w:val="0"/>
        </w:numPr>
        <w:spacing w:lineRule="auto" w:line="360" w:before="0" w:after="0"/>
        <w:ind w:hanging="0" w:start="360" w:end="0"/>
        <w:rPr/>
      </w:pPr>
      <w:r>
        <w:rPr>
          <w:rFonts w:cs="Times New Roman" w:ascii="Times New Roman" w:hAnsi="Times New Roman"/>
        </w:rPr>
        <w:tab/>
      </w:r>
      <w:r>
        <w:rPr>
          <w:rFonts w:cs="Times New Roman" w:ascii="Times New Roman" w:hAnsi="Times New Roman"/>
          <w:b/>
        </w:rPr>
        <w:t>IN WITNESS WHEREOF</w:t>
      </w:r>
      <w:r>
        <w:rPr>
          <w:rFonts w:cs="Times New Roman" w:ascii="Times New Roman" w:hAnsi="Times New Roman"/>
        </w:rPr>
        <w:t>, the parties hereto have executed this Agreement as of the day and year first set forth above.</w:t>
      </w:r>
    </w:p>
    <w:p>
      <w:pPr>
        <w:pStyle w:val="Bullet-1"/>
        <w:numPr>
          <w:ilvl w:val="0"/>
          <w:numId w:val="0"/>
        </w:numPr>
        <w:spacing w:before="0" w:after="0"/>
        <w:ind w:hanging="0" w:start="360" w:end="0"/>
        <w:rPr>
          <w:rFonts w:ascii="Times New Roman" w:hAnsi="Times New Roman" w:cs="Times New Roman"/>
        </w:rPr>
      </w:pPr>
      <w:r>
        <w:rPr>
          <w:rFonts w:cs="Times New Roman" w:ascii="Times New Roman" w:hAnsi="Times New Roman"/>
        </w:rPr>
      </w:r>
    </w:p>
    <w:p>
      <w:pPr>
        <w:pStyle w:val="Bullet-1"/>
        <w:numPr>
          <w:ilvl w:val="0"/>
          <w:numId w:val="0"/>
        </w:numPr>
        <w:spacing w:before="0" w:after="0"/>
        <w:ind w:hanging="0" w:start="360" w:end="0"/>
        <w:rPr>
          <w:rFonts w:ascii="Times New Roman" w:hAnsi="Times New Roman" w:cs="Times New Roman"/>
        </w:rPr>
      </w:pPr>
      <w:r>
        <w:rPr>
          <w:rFonts w:cs="Times New Roman" w:ascii="Times New Roman" w:hAnsi="Times New Roman"/>
        </w:rPr>
      </w:r>
    </w:p>
    <w:p>
      <w:pPr>
        <w:pStyle w:val="Bullet-1"/>
        <w:numPr>
          <w:ilvl w:val="0"/>
          <w:numId w:val="0"/>
        </w:numPr>
        <w:spacing w:before="0" w:after="0"/>
        <w:ind w:hanging="0" w:start="360" w:end="0"/>
        <w:rPr>
          <w:rFonts w:ascii="Times New Roman" w:hAnsi="Times New Roman" w:cs="Times New Roman"/>
          <w:b/>
        </w:rPr>
      </w:pPr>
      <w:r>
        <w:rPr>
          <w:rFonts w:cs="Times New Roman" w:ascii="Times New Roman" w:hAnsi="Times New Roman"/>
          <w:b/>
        </w:rPr>
        <w:t xml:space="preserve">WHALE MANUFACTURI NG &amp;               </w:t>
        <w:tab/>
        <w:tab/>
        <w:t>Enron North America Corp.</w:t>
      </w:r>
    </w:p>
    <w:p>
      <w:pPr>
        <w:pStyle w:val="Bullet-1"/>
        <w:numPr>
          <w:ilvl w:val="0"/>
          <w:numId w:val="0"/>
        </w:numPr>
        <w:spacing w:before="0" w:after="0"/>
        <w:ind w:hanging="0" w:start="360" w:end="0"/>
        <w:rPr>
          <w:rFonts w:ascii="Times New Roman" w:hAnsi="Times New Roman" w:cs="Times New Roman"/>
          <w:b/>
        </w:rPr>
      </w:pPr>
      <w:r>
        <w:rPr>
          <w:rFonts w:cs="Times New Roman" w:ascii="Times New Roman" w:hAnsi="Times New Roman"/>
          <w:b/>
        </w:rPr>
        <w:t>PROCUREMENT, INC.</w:t>
      </w:r>
    </w:p>
    <w:p>
      <w:pPr>
        <w:pStyle w:val="Bullet-1"/>
        <w:numPr>
          <w:ilvl w:val="0"/>
          <w:numId w:val="0"/>
        </w:numPr>
        <w:spacing w:before="0" w:after="0"/>
        <w:ind w:hanging="0" w:start="360" w:end="0"/>
        <w:rPr>
          <w:rFonts w:ascii="Times New Roman" w:hAnsi="Times New Roman" w:cs="Times New Roman"/>
        </w:rPr>
      </w:pPr>
      <w:r>
        <w:rPr>
          <w:rFonts w:cs="Times New Roman" w:ascii="Times New Roman" w:hAnsi="Times New Roman"/>
        </w:rPr>
        <w:t>By: __________________________</w:t>
        <w:tab/>
        <w:tab/>
        <w:tab/>
        <w:tab/>
        <w:t>By: __________________________</w:t>
      </w:r>
    </w:p>
    <w:p>
      <w:pPr>
        <w:pStyle w:val="Bullet-1"/>
        <w:numPr>
          <w:ilvl w:val="0"/>
          <w:numId w:val="0"/>
        </w:numPr>
        <w:spacing w:before="0" w:after="0"/>
        <w:ind w:hanging="0" w:start="360" w:end="0"/>
        <w:rPr>
          <w:rFonts w:ascii="Times New Roman" w:hAnsi="Times New Roman" w:cs="Times New Roman"/>
        </w:rPr>
      </w:pPr>
      <w:r>
        <w:rPr>
          <w:rFonts w:cs="Times New Roman" w:ascii="Times New Roman" w:hAnsi="Times New Roman"/>
        </w:rPr>
      </w:r>
    </w:p>
    <w:p>
      <w:pPr>
        <w:pStyle w:val="Bullet-1"/>
        <w:numPr>
          <w:ilvl w:val="0"/>
          <w:numId w:val="0"/>
        </w:numPr>
        <w:spacing w:before="0" w:after="0"/>
        <w:ind w:hanging="0" w:start="360" w:end="0"/>
        <w:rPr>
          <w:rFonts w:ascii="Times New Roman" w:hAnsi="Times New Roman" w:cs="Times New Roman"/>
        </w:rPr>
      </w:pPr>
      <w:r>
        <w:rPr>
          <w:rFonts w:cs="Times New Roman" w:ascii="Times New Roman" w:hAnsi="Times New Roman"/>
        </w:rPr>
        <w:t>Title:_________________________</w:t>
        <w:tab/>
        <w:tab/>
        <w:tab/>
        <w:tab/>
        <w:t>Title:_________________________</w:t>
      </w:r>
    </w:p>
    <w:p>
      <w:pPr>
        <w:pStyle w:val="Bullet-1"/>
        <w:numPr>
          <w:ilvl w:val="0"/>
          <w:numId w:val="0"/>
        </w:numPr>
        <w:spacing w:before="0" w:after="0"/>
        <w:ind w:hanging="0" w:start="360" w:end="0"/>
        <w:rPr>
          <w:rFonts w:ascii="Times New Roman" w:hAnsi="Times New Roman" w:cs="Times New Roman"/>
        </w:rPr>
      </w:pPr>
      <w:r>
        <w:rPr>
          <w:rFonts w:cs="Times New Roman" w:ascii="Times New Roman" w:hAnsi="Times New Roman"/>
        </w:rPr>
      </w:r>
    </w:p>
    <w:sectPr>
      <w:type w:val="continuous"/>
      <w:pgSz w:w="12240" w:h="15840"/>
      <w:pgMar w:left="1440" w:right="1440" w:gutter="0" w:header="0" w:top="1080" w:footer="720" w:bottom="108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eoSlab703 Lt BT">
    <w:altName w:val="Garamond"/>
    <w:charset w:val="00" w:characterSet="windows-1252"/>
    <w:family w:val="roman"/>
    <w:pitch w:val="variable"/>
  </w:font>
  <w:font w:name="Garamond">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Garamond" w:hAnsi="Garamond" w:cs="Garamond"/>
        <w:sz w:val="22"/>
      </w:rPr>
    </w:pPr>
    <w:r>
      <w:rPr>
        <w:rFonts w:cs="Garamond" w:ascii="Garamond" w:hAnsi="Garamond"/>
        <w:sz w:val="22"/>
      </w:rPr>
      <w:t>Page 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lvl>
    <w:lvl w:ilvl="1">
      <w:start w:val="1"/>
      <w:numFmt w:val="lowerLetter"/>
      <w:lvlText w:val="%2)"/>
      <w:lvlJc w:val="start"/>
      <w:pPr>
        <w:tabs>
          <w:tab w:val="num" w:pos="360"/>
        </w:tabs>
        <w:ind w:start="1080" w:hanging="360"/>
      </w:pPr>
    </w:lvl>
    <w:lvl w:ilvl="2">
      <w:start w:val="1"/>
      <w:numFmt w:val="lowerRoman"/>
      <w:lvlText w:val="%3)"/>
      <w:lvlJc w:val="start"/>
      <w:pPr>
        <w:tabs>
          <w:tab w:val="num" w:pos="720"/>
        </w:tabs>
        <w:ind w:start="1800" w:hanging="720"/>
      </w:pPr>
    </w:lvl>
    <w:lvl w:ilvl="3">
      <w:start w:val="1"/>
      <w:numFmt w:val="lowerLetter"/>
      <w:lvlText w:val="%4)"/>
      <w:lvlJc w:val="start"/>
      <w:pPr>
        <w:tabs>
          <w:tab w:val="num" w:pos="720"/>
        </w:tabs>
        <w:ind w:start="2520" w:hanging="720"/>
      </w:pPr>
    </w:lvl>
    <w:lvl w:ilvl="4">
      <w:start w:val="1"/>
      <w:numFmt w:val="decimal"/>
      <w:lvlText w:val="(%5)"/>
      <w:lvlJc w:val="start"/>
      <w:pPr>
        <w:tabs>
          <w:tab w:val="num" w:pos="720"/>
        </w:tabs>
        <w:ind w:start="3240" w:hanging="720"/>
      </w:pPr>
    </w:lvl>
    <w:lvl w:ilvl="5">
      <w:start w:val="1"/>
      <w:numFmt w:val="lowerLetter"/>
      <w:lvlText w:val="(%6)"/>
      <w:lvlJc w:val="start"/>
      <w:pPr>
        <w:tabs>
          <w:tab w:val="num" w:pos="720"/>
        </w:tabs>
        <w:ind w:start="3960" w:hanging="720"/>
      </w:pPr>
    </w:lvl>
    <w:lvl w:ilvl="6">
      <w:start w:val="1"/>
      <w:numFmt w:val="lowerRoman"/>
      <w:lvlText w:val="(%7)"/>
      <w:lvlJc w:val="start"/>
      <w:pPr>
        <w:tabs>
          <w:tab w:val="num" w:pos="720"/>
        </w:tabs>
        <w:ind w:start="4680" w:hanging="720"/>
      </w:pPr>
    </w:lvl>
    <w:lvl w:ilvl="7">
      <w:start w:val="1"/>
      <w:numFmt w:val="lowerLetter"/>
      <w:lvlText w:val="(%8)"/>
      <w:lvlJc w:val="start"/>
      <w:pPr>
        <w:tabs>
          <w:tab w:val="num" w:pos="720"/>
        </w:tabs>
        <w:ind w:start="5400" w:hanging="720"/>
      </w:pPr>
    </w:lvl>
    <w:lvl w:ilvl="8">
      <w:start w:val="1"/>
      <w:numFmt w:val="lowerRoman"/>
      <w:lvlText w:val="(%9)"/>
      <w:lvlJc w:val="start"/>
      <w:pPr>
        <w:tabs>
          <w:tab w:val="num" w:pos="720"/>
        </w:tabs>
        <w:ind w:start="6120" w:hanging="720"/>
      </w:pPr>
    </w:lvl>
  </w:abstractNum>
  <w:abstractNum w:abstractNumId="3">
    <w:lvl w:ilvl="0">
      <w:start w:val="4"/>
      <w:numFmt w:val="decimal"/>
      <w:lvlText w:val="%1."/>
      <w:lvlJc w:val="start"/>
      <w:pPr>
        <w:tabs>
          <w:tab w:val="num" w:pos="360"/>
        </w:tabs>
        <w:ind w:start="360" w:hanging="360"/>
      </w:pPr>
    </w:lvl>
    <w:lvl w:ilvl="1">
      <w:start w:val="1"/>
      <w:numFmt w:val="decimal"/>
      <w:lvlText w:val="%2."/>
      <w:lvlJc w:val="start"/>
      <w:pPr>
        <w:tabs>
          <w:tab w:val="num" w:pos="360"/>
        </w:tabs>
        <w:ind w:start="720" w:hanging="360"/>
      </w:pPr>
    </w:lvl>
    <w:lvl w:ilvl="2">
      <w:start w:val="1"/>
      <w:numFmt w:val="lowerRoman"/>
      <w:lvlText w:val="%3)"/>
      <w:lvlJc w:val="start"/>
      <w:pPr>
        <w:tabs>
          <w:tab w:val="num" w:pos="720"/>
        </w:tabs>
        <w:ind w:start="1440" w:hanging="720"/>
      </w:pPr>
    </w:lvl>
    <w:lvl w:ilvl="3">
      <w:start w:val="1"/>
      <w:numFmt w:val="lowerLetter"/>
      <w:lvlText w:val="%4)"/>
      <w:lvlJc w:val="start"/>
      <w:pPr>
        <w:tabs>
          <w:tab w:val="num" w:pos="720"/>
        </w:tabs>
        <w:ind w:start="2160" w:hanging="720"/>
      </w:pPr>
    </w:lvl>
    <w:lvl w:ilvl="4">
      <w:start w:val="1"/>
      <w:numFmt w:val="decimal"/>
      <w:lvlText w:val="(%5)"/>
      <w:lvlJc w:val="start"/>
      <w:pPr>
        <w:tabs>
          <w:tab w:val="num" w:pos="720"/>
        </w:tabs>
        <w:ind w:start="2880" w:hanging="720"/>
      </w:pPr>
    </w:lvl>
    <w:lvl w:ilvl="5">
      <w:start w:val="1"/>
      <w:numFmt w:val="lowerLetter"/>
      <w:lvlText w:val="(%6)"/>
      <w:lvlJc w:val="start"/>
      <w:pPr>
        <w:tabs>
          <w:tab w:val="num" w:pos="720"/>
        </w:tabs>
        <w:ind w:start="3600" w:hanging="720"/>
      </w:pPr>
    </w:lvl>
    <w:lvl w:ilvl="6">
      <w:start w:val="1"/>
      <w:numFmt w:val="lowerRoman"/>
      <w:lvlText w:val="(%7)"/>
      <w:lvlJc w:val="start"/>
      <w:pPr>
        <w:tabs>
          <w:tab w:val="num" w:pos="720"/>
        </w:tabs>
        <w:ind w:start="4320" w:hanging="720"/>
      </w:pPr>
    </w:lvl>
    <w:lvl w:ilvl="7">
      <w:start w:val="1"/>
      <w:numFmt w:val="lowerLetter"/>
      <w:lvlText w:val="(%8)"/>
      <w:lvlJc w:val="start"/>
      <w:pPr>
        <w:tabs>
          <w:tab w:val="num" w:pos="720"/>
        </w:tabs>
        <w:ind w:start="5040" w:hanging="720"/>
      </w:pPr>
    </w:lvl>
    <w:lvl w:ilvl="8">
      <w:start w:val="1"/>
      <w:numFmt w:val="lowerRoman"/>
      <w:lvlText w:val="(%9)"/>
      <w:lvlJc w:val="start"/>
      <w:pPr>
        <w:tabs>
          <w:tab w:val="num" w:pos="720"/>
        </w:tabs>
        <w:ind w:start="5760" w:hanging="720"/>
      </w:pPr>
    </w:lvl>
  </w:abstractNum>
  <w:abstractNum w:abstractNumId="4">
    <w:lvl w:ilvl="0">
      <w:start w:val="1"/>
      <w:numFmt w:val="decimal"/>
      <w:lvlText w:val="%1. "/>
      <w:lvlJc w:val="start"/>
      <w:pPr>
        <w:tabs>
          <w:tab w:val="num" w:pos="360"/>
        </w:tabs>
        <w:ind w:start="360" w:hanging="360"/>
      </w:pPr>
      <w:rPr>
        <w:sz w:val="24"/>
        <w:i w:val="false"/>
        <w:u w:val="none"/>
        <w:b w:val="false"/>
        <w:rFonts w:ascii="Garamond" w:hAnsi="Garamond" w:cs="Garamond"/>
      </w:rPr>
    </w:lvl>
  </w:abstractNum>
  <w:abstractNum w:abstractNumId="5">
    <w:lvl w:ilvl="0">
      <w:start w:val="1"/>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mirrorMargi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GeoSlab703 Lt BT;Garamond" w:hAnsi="GeoSlab703 Lt BT;Garamond" w:eastAsia="Times New Roman" w:cs="GeoSlab703 Lt BT;Garamond"/>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jc w:val="center"/>
      <w:outlineLvl w:val="0"/>
    </w:pPr>
    <w:rPr>
      <w:rFonts w:ascii="Garamond" w:hAnsi="Garamond" w:cs="Garamond"/>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character" w:styleId="WW8Num3z0">
    <w:name w:val="WW8Num3z0"/>
    <w:qFormat/>
    <w:rPr>
      <w:rFonts w:ascii="Garamond" w:hAnsi="Garamond" w:cs="Garamond"/>
      <w:b w:val="false"/>
      <w:i w:val="false"/>
      <w:sz w:val="24"/>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yle11">
    <w:name w:val="Style1"/>
    <w:basedOn w:val="Normal"/>
    <w:next w:val="MessageHeader"/>
    <w:qFormat/>
    <w:pPr>
      <w:widowControl w:val="false"/>
      <w:tabs>
        <w:tab w:val="clear" w:pos="720"/>
        <w:tab w:val="right" w:pos="9360" w:leader="none"/>
      </w:tabs>
      <w:ind w:firstLine="1440" w:start="0" w:end="0"/>
    </w:pPr>
    <w:rPr>
      <w:sz w:val="24"/>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ullet-1">
    <w:name w:val="Bullet-1"/>
    <w:basedOn w:val="Normal"/>
    <w:qFormat/>
    <w:pPr>
      <w:numPr>
        <w:ilvl w:val="0"/>
        <w:numId w:val="5"/>
      </w:numPr>
      <w:spacing w:before="240" w:after="0"/>
      <w:ind w:hanging="360" w:start="360" w:end="0"/>
      <w:jc w:val="both"/>
    </w:pPr>
    <w:rPr>
      <w:rFonts w:ascii="Garamond" w:hAnsi="Garamond" w:cs="Garamond"/>
    </w:rPr>
  </w:style>
  <w:style w:type="numbering" w:styleId="WW8Num1">
    <w:name w:val="WW8Num1"/>
    <w:qFormat/>
  </w:style>
  <w:style w:type="numbering" w:styleId="WW8Num2">
    <w:name w:val="WW8Num2"/>
    <w:qFormat/>
  </w:style>
  <w:style w:type="numbering" w:styleId="WW8Num3">
    <w:name w:val="WW8Num3"/>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2001-11-05T08:11:00Z</dcterms:created>
  <dc:creator>Kim Vincent</dc:creator>
  <dc:description/>
  <dc:language>en-CA</dc:language>
  <cp:lastModifiedBy>Roland Herro</cp:lastModifiedBy>
  <cp:lastPrinted>1997-10-22T14:30:00Z</cp:lastPrinted>
  <dcterms:modified xsi:type="dcterms:W3CDTF">2001-11-05T08:12:00Z</dcterms:modified>
  <cp:revision>3</cp:revision>
  <dc:subject/>
  <dc:title>CONFIDENTIAL INFORMATION AGREEMENT</dc:title>
</cp:coreProperties>
</file>