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CONCERNS WITH SB2X 78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THIS DOES NOT ADDRESS DIRECT ACCESS AND IT MUST BE PART OF THE DEAL – EITHER ADD A PROVISION TO DELETE THE “KILL DA” PROVISIONS OF ABX 1 OR ADD A DA SECTION THAT ALLOWS CHOICE WITHOUT EXIT FEES TO THE EXTENT FEASIBLE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BodyTextIndent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Sec 5</w:t>
        <w:tab/>
        <w:t>Repeals the PX provisions in AB 1890, as if it never existed. What does that do to existing tangle of contracts and claims?</w:t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Sec 6(a)</w:t>
        <w:tab/>
        <w:t>Changes the purposes of the ISO.  Deletes regional references.  The purposes would now include achieving equitable pricing policies in the western states – clearly stepping on FERC’s jurisdiction.</w:t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BodyTextIndent2"/>
        <w:rPr/>
      </w:pPr>
      <w:r>
        <w:rPr/>
        <w:t>Sec 9</w:t>
        <w:tab/>
        <w:t>Repeals frozen rate and stranded cost language of AB 1890 as of 1/1/02.  Result – end of frozen rate for retail customers and complex unwinding of months of billings.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Sec 11</w:t>
        <w:tab/>
        <w:t>$2.5 billion cap on “qualified costs” leaves SCE without sufficient dollars to regain creditworthy status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Sec 13</w:t>
        <w:tab/>
        <w:t>Recreates a vertically-integrated SCE with no quid pro quo to the consumers who just spent $13 billion to pay off SCE’s entire stranded generation cost; new re-constituted SCE in partnership with state agencies will eliminate competition and lead to higher prices for consumers – AT A MINIMUM SCE SHOULD NOT BE ENTITLED TO ANY ADDITIONAL STRANDED COSTS FROM NEW GENERATION IT BUILDS</w:t>
      </w:r>
    </w:p>
    <w:p>
      <w:pPr>
        <w:pStyle w:val="BodyTextIndent2"/>
        <w:rPr/>
      </w:pPr>
      <w:r>
        <w:rPr/>
      </w:r>
    </w:p>
    <w:p>
      <w:pPr>
        <w:pStyle w:val="BodyTextIndent2"/>
        <w:rPr>
          <w:color w:val="000000"/>
          <w:szCs w:val="20"/>
        </w:rPr>
      </w:pPr>
      <w:r>
        <w:rPr/>
        <w:t>Sec 14</w:t>
        <w:tab/>
        <w:t>Locks in rate of return for SCE through 1/1/06 – sweetheart deal</w:t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lease look at the bill and specifically Section 13, on Page 35 (see below).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I believe that if this bill were to become law direct access in SCE's,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PG&amp;E's and SDG&amp;E territories (I believe the section stands alone so it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wouldn't matter if PG&amp;E accepted the same deal or not) would be dead.  In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summary, the bill would essentially allow any IOU to go back into the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generation business and require the CPUC to approve rates that are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sufficient to cover their reasonable cost of operation, investment and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provide for a reasonable rate of return (I don't believe this is cost-based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rates).  The CPUC is given broad latitude over conducting proceedings,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issuing orders or anything else that may be necessary to accomplish the goal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of assuring that service provided by IOU's is adequate.  Section 13 will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kill competition, eliminate direct access and create new stranded costs.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And, to add insult to injury the State Power Authority may be their partners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in crime.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As to the politics of the bill it was just amended to be a majority vote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bill.  Burton has said it is this bill or nothing.  SCE is opposing the bill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but there are several lobbyist who think this is all an ambush and SCE would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love this bill.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Please comment on my above analysis.  I would love to be wrong on this one.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Kasssandra Gough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Government and Legislative Manager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Calpine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SEC. 13. Section 454.10 is added to the Public Utilities Code, to read: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454.10. (a) In order to assure that the service provided by electrical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corporations is adequate, the commission may require each electrical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corporation that provides distribution service to make direct investments in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electric generation facilities whose output is dedicated to serve the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customers connected to its distribution grid. (b) After a hearing, the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commission shall approve rates sufficient to enable the electrical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corporation to recover its reasonable costs of operation, its reasonable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investment in the electric generation facilities and a reasonable return on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its investment, in accordance with Section 451. (c) An electric corporation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may meet the obligation described in this section by entering into projects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for electric generation facilities jointly with the California Consumer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Power and Conservation Financing Authority. (d) The commission may conduct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proceedings, enter orders and undertake such actions as it considers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necessary or appropriate to carry out the provisions of this section.</w:t>
      </w:r>
    </w:p>
    <w:p>
      <w:pPr>
        <w:pStyle w:val="Normal"/>
        <w:rPr>
          <w:rFonts w:ascii="Courier" w:hAnsi="Courier" w:cs="Courier"/>
          <w:color w:val="000000"/>
          <w:sz w:val="20"/>
          <w:szCs w:val="20"/>
        </w:rPr>
      </w:pPr>
      <w:r>
        <w:rPr>
          <w:rFonts w:eastAsia="Courier" w:cs="Courier" w:ascii="Courier" w:hAnsi="Courier"/>
          <w:color w:val="000000"/>
          <w:sz w:val="20"/>
          <w:szCs w:val="20"/>
        </w:rPr>
        <w:t xml:space="preserve"> </w:t>
      </w:r>
      <w:r>
        <w:rPr>
          <w:rFonts w:cs="Courier" w:ascii="Courier" w:hAnsi="Courier"/>
          <w:color w:val="000000"/>
          <w:sz w:val="20"/>
          <w:szCs w:val="20"/>
        </w:rPr>
        <w:t>&lt;&lt;sb 78xx -Polanco.pdf&gt;&gt;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spacing w:lineRule="atLeast" w:line="240"/>
      <w:ind w:hanging="1440" w:start="1440" w:end="0"/>
    </w:pPr>
    <w:rPr>
      <w:rFonts w:ascii="Courier" w:hAnsi="Courier" w:cs="Courier"/>
      <w:color w:val="000000"/>
      <w:sz w:val="20"/>
      <w:szCs w:val="20"/>
    </w:rPr>
  </w:style>
  <w:style w:type="paragraph" w:styleId="BodyTextIndent2">
    <w:name w:val="Body Text Indent 2"/>
    <w:basedOn w:val="Normal"/>
    <w:qFormat/>
    <w:pPr>
      <w:autoSpaceDE w:val="false"/>
      <w:spacing w:lineRule="atLeast" w:line="240"/>
      <w:ind w:hanging="1440" w:start="1440" w:end="0"/>
    </w:pPr>
    <w:rPr>
      <w:rFonts w:ascii="Courier" w:hAnsi="Courier" w:cs="Courier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2001-07-20T19:36:00Z</dcterms:created>
  <dc:creator>smara</dc:creator>
  <dc:description/>
  <dc:language>en-CA</dc:language>
  <cp:lastModifiedBy>smara</cp:lastModifiedBy>
  <dcterms:modified xsi:type="dcterms:W3CDTF">2001-07-20T20:31:00Z</dcterms:modified>
  <cp:revision>1</cp:revision>
  <dc:subject/>
  <dc:title>CONCERNS WITH SB2X 78</dc:title>
</cp:coreProperties>
</file>