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6"/>
        </w:rPr>
        <w:t>Description of State Electricity Competitive Situation</w:t>
        <w:br/>
        <w:t>California (2/23/00)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tabs>
          <w:tab w:val="clear" w:pos="720"/>
          <w:tab w:val="left" w:pos="450" w:leader="none"/>
        </w:tabs>
        <w:rPr>
          <w:b/>
          <w:sz w:val="22"/>
        </w:rPr>
      </w:pPr>
      <w:r>
        <w:rPr>
          <w:b/>
          <w:sz w:val="22"/>
        </w:rPr>
        <w:t>1.</w:t>
        <w:tab/>
        <w:t>Choice:</w:t>
      </w:r>
    </w:p>
    <w:p>
      <w:pPr>
        <w:pStyle w:val="Normal"/>
        <w:tabs>
          <w:tab w:val="clear" w:pos="720"/>
          <w:tab w:val="left" w:pos="450" w:leader="none"/>
        </w:tabs>
        <w:rPr>
          <w:b/>
          <w:sz w:val="22"/>
        </w:rPr>
      </w:pPr>
      <w:r>
        <w:rPr>
          <w:b/>
          <w:sz w:val="22"/>
        </w:rPr>
      </w:r>
    </w:p>
    <w:p>
      <w:pPr>
        <w:pStyle w:val="Normal"/>
        <w:tabs>
          <w:tab w:val="clear" w:pos="720"/>
          <w:tab w:val="left" w:pos="450" w:leader="none"/>
        </w:tabs>
        <w:rPr/>
      </w:pPr>
      <w:r>
        <w:rPr>
          <w:b/>
          <w:sz w:val="22"/>
        </w:rPr>
        <w:tab/>
      </w:r>
      <w:r>
        <w:rPr>
          <w:sz w:val="22"/>
        </w:rPr>
        <w:t>Customer choice started 4/1/98.</w:t>
      </w:r>
    </w:p>
    <w:p>
      <w:pPr>
        <w:pStyle w:val="Normal"/>
        <w:tabs>
          <w:tab w:val="clear" w:pos="720"/>
          <w:tab w:val="left" w:pos="450" w:leader="none"/>
        </w:tabs>
        <w:rPr>
          <w:sz w:val="22"/>
        </w:rPr>
      </w:pPr>
      <w:r>
        <w:rPr>
          <w:sz w:val="22"/>
        </w:rPr>
      </w:r>
    </w:p>
    <w:p>
      <w:pPr>
        <w:pStyle w:val="Normal"/>
        <w:tabs>
          <w:tab w:val="clear" w:pos="720"/>
          <w:tab w:val="left" w:pos="450" w:leader="none"/>
        </w:tabs>
        <w:rPr/>
      </w:pPr>
      <w:r>
        <w:rPr>
          <w:b/>
          <w:sz w:val="22"/>
        </w:rPr>
        <w:t>2.</w:t>
        <w:tab/>
        <w:t xml:space="preserve">Is </w:t>
      </w:r>
      <w:r>
        <w:rPr>
          <w:sz w:val="22"/>
        </w:rPr>
        <w:t>t</w:t>
      </w:r>
      <w:r>
        <w:rPr>
          <w:b/>
          <w:sz w:val="22"/>
        </w:rPr>
        <w:t xml:space="preserve">here a stranded cost recovery mechanism in the state and how does it work?  Timetable?  </w:t>
      </w:r>
    </w:p>
    <w:p>
      <w:pPr>
        <w:pStyle w:val="Normal"/>
        <w:tabs>
          <w:tab w:val="clear" w:pos="720"/>
          <w:tab w:val="left" w:pos="450" w:leader="none"/>
        </w:tabs>
        <w:rPr>
          <w:sz w:val="22"/>
        </w:rPr>
      </w:pPr>
      <w:r>
        <w:rPr>
          <w:b/>
          <w:sz w:val="22"/>
        </w:rPr>
        <w:tab/>
        <w:t>Any special conditions for industrial and commercial customers?</w:t>
      </w:r>
    </w:p>
    <w:p>
      <w:pPr>
        <w:pStyle w:val="Normal"/>
        <w:tabs>
          <w:tab w:val="clear" w:pos="720"/>
          <w:tab w:val="left" w:pos="450" w:leader="none"/>
        </w:tabs>
        <w:rPr>
          <w:sz w:val="22"/>
        </w:rPr>
      </w:pPr>
      <w:r>
        <w:rPr>
          <w:sz w:val="22"/>
        </w:rPr>
      </w:r>
    </w:p>
    <w:p>
      <w:pPr>
        <w:pStyle w:val="Normal"/>
        <w:tabs>
          <w:tab w:val="clear" w:pos="720"/>
          <w:tab w:val="left" w:pos="450" w:leader="none"/>
        </w:tabs>
        <w:ind w:start="450" w:end="0"/>
        <w:rPr>
          <w:sz w:val="22"/>
        </w:rPr>
      </w:pPr>
      <w:r>
        <w:rPr>
          <w:sz w:val="22"/>
        </w:rPr>
        <w:t>Residual CTC cost recovery applies.  All classes of customers opened to competition 4/1/98.  The generated-related CTC cost recovery period ends 12/31/01 at the latest, while other CTC components end various dates.  Generation-related costs are the largest component of stranded costs.  CTC roll-off ends either at 12/31/01 or once generation-related costs are recovered, whichever occurs first.  At this point the current rate freeze also ends.  In July 1999 all SDG&amp;E generation-related costs were recovered and they no longer collect a CTC.  PG&amp;E is estimated to roll off its CTC as soon as mid-2000.  Edison's may not roll off until 12/31/01.  CTC is charged to all customers and cannot be avoided.</w:t>
      </w:r>
    </w:p>
    <w:p>
      <w:pPr>
        <w:pStyle w:val="Normal"/>
        <w:tabs>
          <w:tab w:val="clear" w:pos="720"/>
          <w:tab w:val="left" w:pos="450" w:leader="none"/>
        </w:tabs>
        <w:rPr>
          <w:sz w:val="22"/>
        </w:rPr>
      </w:pPr>
      <w:r>
        <w:rPr>
          <w:sz w:val="22"/>
        </w:rPr>
      </w:r>
    </w:p>
    <w:p>
      <w:pPr>
        <w:pStyle w:val="Normal"/>
        <w:tabs>
          <w:tab w:val="clear" w:pos="720"/>
          <w:tab w:val="left" w:pos="450" w:leader="none"/>
        </w:tabs>
        <w:ind w:hanging="450" w:start="450" w:end="0"/>
        <w:rPr>
          <w:b/>
          <w:sz w:val="22"/>
        </w:rPr>
      </w:pPr>
      <w:r>
        <w:rPr>
          <w:b/>
          <w:sz w:val="22"/>
        </w:rPr>
        <w:t>3.</w:t>
        <w:tab/>
        <w:t xml:space="preserve">Do major utilities in the state have shopping credits that help customers to choose their supplier?            How do shopping credits, if applicable, treat T and D costs?  What is the timetable for shopping credits to change?  </w:t>
      </w:r>
    </w:p>
    <w:p>
      <w:pPr>
        <w:pStyle w:val="Normal"/>
        <w:tabs>
          <w:tab w:val="clear" w:pos="720"/>
          <w:tab w:val="left" w:pos="450" w:leader="none"/>
        </w:tabs>
        <w:ind w:start="450" w:end="0"/>
        <w:rPr>
          <w:b/>
          <w:sz w:val="22"/>
        </w:rPr>
      </w:pPr>
      <w:r>
        <w:rPr>
          <w:b/>
          <w:sz w:val="22"/>
        </w:rPr>
      </w:r>
    </w:p>
    <w:p>
      <w:pPr>
        <w:pStyle w:val="Normal"/>
        <w:tabs>
          <w:tab w:val="clear" w:pos="720"/>
          <w:tab w:val="left" w:pos="450" w:leader="none"/>
        </w:tabs>
        <w:ind w:start="450" w:end="0"/>
        <w:rPr>
          <w:sz w:val="22"/>
        </w:rPr>
      </w:pPr>
      <w:r>
        <w:rPr>
          <w:sz w:val="22"/>
        </w:rPr>
        <w:t>No shopping credit is set.</w:t>
      </w:r>
    </w:p>
    <w:p>
      <w:pPr>
        <w:pStyle w:val="Normal"/>
        <w:tabs>
          <w:tab w:val="clear" w:pos="720"/>
          <w:tab w:val="left" w:pos="450" w:leader="none"/>
        </w:tabs>
        <w:ind w:start="450" w:end="0"/>
        <w:rPr>
          <w:sz w:val="22"/>
        </w:rPr>
      </w:pPr>
      <w:r>
        <w:rPr>
          <w:sz w:val="22"/>
        </w:rPr>
      </w:r>
    </w:p>
    <w:p>
      <w:pPr>
        <w:pStyle w:val="Normal"/>
        <w:tabs>
          <w:tab w:val="clear" w:pos="720"/>
          <w:tab w:val="left" w:pos="450" w:leader="none"/>
        </w:tabs>
        <w:rPr>
          <w:b/>
          <w:sz w:val="22"/>
        </w:rPr>
      </w:pPr>
      <w:r>
        <w:rPr>
          <w:b/>
          <w:sz w:val="22"/>
        </w:rPr>
        <w:t>4.</w:t>
        <w:tab/>
        <w:t>Are mandated savings required:</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CTC is charged to all customers and cannot be avoided.  California Law AB1890 froze electric rates at 6/10/96 levels.  By law, these utilities were also required to reduce residential and small commercial customer rates by 10% as of 1/1/98.  The state is considering early end to the rate freeze which is planned to end 3/31/02.</w:t>
      </w:r>
    </w:p>
    <w:p>
      <w:pPr>
        <w:pStyle w:val="Normal"/>
        <w:tabs>
          <w:tab w:val="clear" w:pos="720"/>
          <w:tab w:val="left" w:pos="450" w:leader="none"/>
        </w:tabs>
        <w:rPr>
          <w:b/>
          <w:sz w:val="22"/>
        </w:rPr>
      </w:pPr>
      <w:r>
        <w:rPr>
          <w:b/>
          <w:sz w:val="22"/>
        </w:rPr>
      </w:r>
    </w:p>
    <w:p>
      <w:pPr>
        <w:pStyle w:val="Normal"/>
        <w:tabs>
          <w:tab w:val="clear" w:pos="720"/>
          <w:tab w:val="left" w:pos="450" w:leader="none"/>
        </w:tabs>
        <w:rPr>
          <w:sz w:val="22"/>
        </w:rPr>
      </w:pPr>
      <w:r>
        <w:rPr>
          <w:b/>
          <w:sz w:val="22"/>
        </w:rPr>
        <w:t>5.</w:t>
        <w:tab/>
        <w:t xml:space="preserve">Are utilities mandated to divest generation?  Are they doing it on a voluntary basis?  </w:t>
      </w:r>
    </w:p>
    <w:p>
      <w:pPr>
        <w:pStyle w:val="Normal"/>
        <w:tabs>
          <w:tab w:val="clear" w:pos="720"/>
          <w:tab w:val="left" w:pos="450" w:leader="none"/>
        </w:tabs>
        <w:rPr>
          <w:sz w:val="22"/>
        </w:rPr>
      </w:pPr>
      <w:r>
        <w:rPr>
          <w:sz w:val="22"/>
        </w:rPr>
      </w:r>
    </w:p>
    <w:p>
      <w:pPr>
        <w:pStyle w:val="Normal"/>
        <w:tabs>
          <w:tab w:val="clear" w:pos="720"/>
          <w:tab w:val="left" w:pos="450" w:leader="none"/>
        </w:tabs>
        <w:ind w:start="450" w:end="0"/>
        <w:rPr>
          <w:sz w:val="22"/>
        </w:rPr>
      </w:pPr>
      <w:r>
        <w:rPr>
          <w:sz w:val="22"/>
        </w:rPr>
        <w:t xml:space="preserve">CPUC mandated PG&amp;E, SCE and SDG&amp;E to divest generation and buy their power from the PX.  There are incentives to divest generation. </w:t>
      </w:r>
    </w:p>
    <w:p>
      <w:pPr>
        <w:pStyle w:val="Normal"/>
        <w:tabs>
          <w:tab w:val="clear" w:pos="720"/>
          <w:tab w:val="left" w:pos="450" w:leader="none"/>
        </w:tabs>
        <w:ind w:start="450" w:end="0"/>
        <w:rPr>
          <w:sz w:val="22"/>
        </w:rPr>
      </w:pPr>
      <w:r>
        <w:rPr>
          <w:sz w:val="22"/>
        </w:rPr>
      </w:r>
    </w:p>
    <w:p>
      <w:pPr>
        <w:pStyle w:val="Normal"/>
        <w:tabs>
          <w:tab w:val="clear" w:pos="720"/>
          <w:tab w:val="left" w:pos="450" w:leader="none"/>
        </w:tabs>
        <w:rPr>
          <w:b/>
          <w:sz w:val="22"/>
        </w:rPr>
      </w:pPr>
      <w:r>
        <w:rPr>
          <w:b/>
          <w:sz w:val="22"/>
        </w:rPr>
        <w:t>6.</w:t>
        <w:tab/>
        <w:t>Is a default supplier mechanism in place?</w:t>
      </w:r>
    </w:p>
    <w:p>
      <w:pPr>
        <w:pStyle w:val="Normal"/>
        <w:tabs>
          <w:tab w:val="clear" w:pos="720"/>
          <w:tab w:val="left" w:pos="450" w:leader="none"/>
        </w:tabs>
        <w:ind w:firstLine="90" w:end="0"/>
        <w:rPr>
          <w:b/>
          <w:sz w:val="22"/>
        </w:rPr>
      </w:pPr>
      <w:r>
        <w:rPr>
          <w:b/>
          <w:sz w:val="22"/>
        </w:rPr>
      </w:r>
    </w:p>
    <w:p>
      <w:pPr>
        <w:pStyle w:val="Normal"/>
        <w:tabs>
          <w:tab w:val="clear" w:pos="720"/>
          <w:tab w:val="left" w:pos="450" w:leader="none"/>
        </w:tabs>
        <w:ind w:firstLine="90" w:end="0"/>
        <w:rPr/>
      </w:pPr>
      <w:r>
        <w:rPr>
          <w:b/>
          <w:sz w:val="22"/>
        </w:rPr>
        <w:tab/>
      </w:r>
      <w:r>
        <w:rPr>
          <w:sz w:val="22"/>
        </w:rPr>
        <w:t xml:space="preserve"> The utility default provider has no fuel cost recovery charge.</w:t>
      </w:r>
    </w:p>
    <w:p>
      <w:pPr>
        <w:pStyle w:val="Normal"/>
        <w:tabs>
          <w:tab w:val="clear" w:pos="720"/>
          <w:tab w:val="left" w:pos="450" w:leader="none"/>
        </w:tabs>
        <w:ind w:start="450" w:end="0"/>
        <w:rPr>
          <w:sz w:val="22"/>
        </w:rPr>
      </w:pPr>
      <w:r>
        <w:rPr>
          <w:sz w:val="22"/>
        </w:rPr>
      </w:r>
    </w:p>
    <w:p>
      <w:pPr>
        <w:pStyle w:val="Normal"/>
        <w:tabs>
          <w:tab w:val="clear" w:pos="720"/>
          <w:tab w:val="left" w:pos="450" w:leader="none"/>
        </w:tabs>
        <w:rPr>
          <w:b/>
          <w:sz w:val="22"/>
        </w:rPr>
      </w:pPr>
      <w:r>
        <w:rPr>
          <w:b/>
          <w:sz w:val="22"/>
        </w:rPr>
        <w:t>7.</w:t>
        <w:tab/>
        <w:t xml:space="preserve">What utilities in the state in general have the highest large customer electric rates and highest </w:t>
      </w:r>
    </w:p>
    <w:p>
      <w:pPr>
        <w:pStyle w:val="Normal"/>
        <w:tabs>
          <w:tab w:val="clear" w:pos="720"/>
          <w:tab w:val="left" w:pos="450" w:leader="none"/>
        </w:tabs>
        <w:rPr>
          <w:b/>
          <w:sz w:val="22"/>
        </w:rPr>
      </w:pPr>
      <w:r>
        <w:rPr>
          <w:b/>
          <w:sz w:val="22"/>
        </w:rPr>
        <w:tab/>
        <w:t xml:space="preserve">commercial customer electric rates?  Why?  How will this change over time?   </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Typically Edison's industrial rates are higher than PG&amp;E''s.  In May 1999, SDG&amp;E got approval for performance based rates.  They completed their recovery of stranded costs in July of 1999.</w:t>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r>
    </w:p>
    <w:p>
      <w:pPr>
        <w:pStyle w:val="Normal"/>
        <w:jc w:val="center"/>
        <w:rPr>
          <w:b/>
          <w:sz w:val="28"/>
        </w:rPr>
      </w:pPr>
      <w:r>
        <w:rPr>
          <w:b/>
          <w:sz w:val="28"/>
        </w:rPr>
      </w:r>
    </w:p>
    <w:p>
      <w:pPr>
        <w:pStyle w:val="Normal"/>
        <w:jc w:val="center"/>
        <w:rPr>
          <w:b/>
          <w:sz w:val="28"/>
        </w:rPr>
      </w:pPr>
      <w:r>
        <w:rPr>
          <w:b/>
          <w:sz w:val="28"/>
        </w:rPr>
      </w:r>
    </w:p>
    <w:p>
      <w:pPr>
        <w:pStyle w:val="Normal"/>
        <w:jc w:val="center"/>
        <w:rPr>
          <w:b/>
          <w:sz w:val="26"/>
        </w:rPr>
      </w:pPr>
      <w:r>
        <w:rPr>
          <w:b/>
          <w:sz w:val="26"/>
        </w:rPr>
        <w:t>Description of State Electricity Competitive Situation</w:t>
      </w:r>
    </w:p>
    <w:p>
      <w:pPr>
        <w:pStyle w:val="Normal"/>
        <w:jc w:val="center"/>
        <w:rPr/>
      </w:pPr>
      <w:r>
        <w:rPr>
          <w:b/>
          <w:sz w:val="26"/>
        </w:rPr>
        <w:t>Illinois (2/23/00)</w:t>
      </w:r>
      <w:r>
        <w:rPr>
          <w:b/>
          <w:sz w:val="28"/>
        </w:rPr>
        <w:br/>
      </w:r>
    </w:p>
    <w:p>
      <w:pPr>
        <w:pStyle w:val="Normal"/>
        <w:jc w:val="center"/>
        <w:rPr>
          <w:b/>
          <w:sz w:val="28"/>
        </w:rPr>
      </w:pPr>
      <w:r>
        <w:rPr>
          <w:b/>
          <w:sz w:val="28"/>
        </w:rPr>
      </w:r>
    </w:p>
    <w:p>
      <w:pPr>
        <w:pStyle w:val="Normal"/>
        <w:jc w:val="center"/>
        <w:rPr>
          <w:b/>
          <w:sz w:val="22"/>
        </w:rPr>
      </w:pPr>
      <w:r>
        <w:rPr>
          <w:b/>
          <w:sz w:val="22"/>
        </w:rPr>
      </w:r>
    </w:p>
    <w:p>
      <w:pPr>
        <w:pStyle w:val="Normal"/>
        <w:tabs>
          <w:tab w:val="clear" w:pos="720"/>
          <w:tab w:val="left" w:pos="450" w:leader="none"/>
        </w:tabs>
        <w:rPr>
          <w:b/>
          <w:sz w:val="22"/>
        </w:rPr>
      </w:pPr>
      <w:r>
        <w:rPr>
          <w:b/>
          <w:sz w:val="22"/>
        </w:rPr>
        <w:t>1.</w:t>
        <w:tab/>
        <w:t xml:space="preserve">Choice: </w:t>
      </w:r>
    </w:p>
    <w:p>
      <w:pPr>
        <w:pStyle w:val="Normal"/>
        <w:tabs>
          <w:tab w:val="clear" w:pos="720"/>
          <w:tab w:val="left" w:pos="450" w:leader="none"/>
        </w:tabs>
        <w:rPr>
          <w:b/>
          <w:sz w:val="22"/>
        </w:rPr>
      </w:pPr>
      <w:r>
        <w:rPr>
          <w:b/>
          <w:sz w:val="22"/>
        </w:rPr>
      </w:r>
    </w:p>
    <w:p>
      <w:pPr>
        <w:pStyle w:val="Normal"/>
        <w:tabs>
          <w:tab w:val="clear" w:pos="720"/>
          <w:tab w:val="left" w:pos="450" w:leader="none"/>
        </w:tabs>
        <w:rPr/>
      </w:pPr>
      <w:r>
        <w:rPr>
          <w:b/>
          <w:sz w:val="22"/>
        </w:rPr>
        <w:tab/>
      </w:r>
      <w:r>
        <w:rPr>
          <w:sz w:val="22"/>
        </w:rPr>
        <w:t xml:space="preserve">As of 10/99 one-third of C&amp;I customers in Illinois have choice.  Other C&amp;I customers get it on a phased </w:t>
      </w:r>
    </w:p>
    <w:p>
      <w:pPr>
        <w:pStyle w:val="Normal"/>
        <w:tabs>
          <w:tab w:val="clear" w:pos="720"/>
          <w:tab w:val="left" w:pos="450" w:leader="none"/>
        </w:tabs>
        <w:rPr>
          <w:sz w:val="22"/>
        </w:rPr>
      </w:pPr>
      <w:r>
        <w:rPr>
          <w:sz w:val="22"/>
        </w:rPr>
        <w:tab/>
        <w:t>basis in 2000.  All residentials get choice 5/1/02.</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 xml:space="preserve">2. </w:t>
        <w:tab/>
        <w:t xml:space="preserve">Is there a stranded cost recovery mechanism in the state and how does it work?  Timetable?  </w:t>
        <w:tab/>
        <w:t>Any special conditions for industrial and commercial customers?</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 xml:space="preserve">Stranded cost amount uses a lost revenue approach without a prudency review.  Residual CTC recovery method applies.  Transition cost equals prior revenue less delivery service revenue, less electricity market value and an 8% mitigation factor now, that will go up over time.  An industrial can add cogen capacity and avoid CTC charges, but opportunities to oversize are limited by statute.  CTC applies until the end of 2006 for ComEd; can go to 2008 for all other utilities.  Market value is set by Deloitte Touche the "neutral fact finder"; this entity will change each year. </w:t>
      </w:r>
    </w:p>
    <w:p>
      <w:pPr>
        <w:pStyle w:val="Normal"/>
        <w:tabs>
          <w:tab w:val="clear" w:pos="720"/>
          <w:tab w:val="left" w:pos="450" w:leader="none"/>
        </w:tabs>
        <w:rPr>
          <w:sz w:val="22"/>
        </w:rPr>
      </w:pPr>
      <w:r>
        <w:rPr>
          <w:sz w:val="22"/>
        </w:rPr>
      </w:r>
    </w:p>
    <w:p>
      <w:pPr>
        <w:pStyle w:val="Normal"/>
        <w:tabs>
          <w:tab w:val="clear" w:pos="720"/>
          <w:tab w:val="left" w:pos="450" w:leader="none"/>
        </w:tabs>
        <w:ind w:hanging="450" w:start="450" w:end="0"/>
        <w:rPr>
          <w:b/>
          <w:sz w:val="22"/>
        </w:rPr>
      </w:pPr>
      <w:r>
        <w:rPr>
          <w:b/>
          <w:sz w:val="22"/>
        </w:rPr>
        <w:t>3.</w:t>
        <w:tab/>
        <w:t>Do major utilities in the state have shopping credits that help customers to choose direct their supplier?  How do shopping credits, if applicable, treat T and D costs?  What is the timetable for shopping credits to change?</w:t>
      </w:r>
    </w:p>
    <w:p>
      <w:pPr>
        <w:pStyle w:val="Normal"/>
        <w:tabs>
          <w:tab w:val="clear" w:pos="720"/>
          <w:tab w:val="left" w:pos="450" w:leader="none"/>
        </w:tabs>
        <w:rPr>
          <w:b/>
          <w:sz w:val="22"/>
        </w:rPr>
      </w:pPr>
      <w:r>
        <w:rPr>
          <w:b/>
          <w:sz w:val="22"/>
        </w:rPr>
      </w:r>
    </w:p>
    <w:p>
      <w:pPr>
        <w:pStyle w:val="Normal"/>
        <w:tabs>
          <w:tab w:val="clear" w:pos="720"/>
          <w:tab w:val="left" w:pos="450" w:leader="none"/>
        </w:tabs>
        <w:rPr>
          <w:sz w:val="22"/>
        </w:rPr>
      </w:pPr>
      <w:r>
        <w:rPr>
          <w:sz w:val="22"/>
        </w:rPr>
        <w:tab/>
        <w:t>No shopping credit is set.</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4.</w:t>
        <w:tab/>
        <w:t>Are mandated savings required?</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ComEd and Illinois Power residential customers got a 15% reduction on 8-1-98 and receive an additional 5% cut in 2002. C and I rates decrease 8% in 2000; 2% in 2003; and 1% each in 2005 and 2006. .</w:t>
      </w:r>
    </w:p>
    <w:p>
      <w:pPr>
        <w:pStyle w:val="Normal"/>
        <w:tabs>
          <w:tab w:val="clear" w:pos="720"/>
          <w:tab w:val="left" w:pos="450" w:leader="none"/>
        </w:tabs>
        <w:ind w:start="450" w:end="0"/>
        <w:rPr>
          <w:sz w:val="22"/>
        </w:rPr>
      </w:pPr>
      <w:r>
        <w:rPr>
          <w:sz w:val="22"/>
        </w:rPr>
      </w:r>
    </w:p>
    <w:p>
      <w:pPr>
        <w:pStyle w:val="Normal"/>
        <w:tabs>
          <w:tab w:val="clear" w:pos="720"/>
          <w:tab w:val="left" w:pos="450" w:leader="none"/>
        </w:tabs>
        <w:rPr>
          <w:b/>
          <w:sz w:val="22"/>
        </w:rPr>
      </w:pPr>
      <w:r>
        <w:rPr>
          <w:b/>
          <w:sz w:val="22"/>
        </w:rPr>
        <w:t>5.</w:t>
        <w:tab/>
        <w:t xml:space="preserve">Are utilities mandated to divest generation?  Are they doing it on a voluntary basis?  </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Voluntary generation divestment.   ComEd has voluntarily sold its fossil burning plants.</w:t>
      </w:r>
    </w:p>
    <w:p>
      <w:pPr>
        <w:pStyle w:val="Normal"/>
        <w:tabs>
          <w:tab w:val="clear" w:pos="720"/>
          <w:tab w:val="left" w:pos="450" w:leader="none"/>
        </w:tabs>
        <w:ind w:start="450" w:end="0"/>
        <w:rPr>
          <w:sz w:val="22"/>
        </w:rPr>
      </w:pPr>
      <w:r>
        <w:rPr>
          <w:sz w:val="22"/>
        </w:rPr>
      </w:r>
    </w:p>
    <w:p>
      <w:pPr>
        <w:pStyle w:val="Normal"/>
        <w:tabs>
          <w:tab w:val="clear" w:pos="720"/>
          <w:tab w:val="left" w:pos="450" w:leader="none"/>
        </w:tabs>
        <w:rPr>
          <w:b/>
          <w:sz w:val="22"/>
        </w:rPr>
      </w:pPr>
      <w:r>
        <w:rPr>
          <w:b/>
          <w:sz w:val="22"/>
        </w:rPr>
        <w:t>6.</w:t>
        <w:tab/>
        <w:t>Is a default supplier mechanism place?</w:t>
      </w:r>
    </w:p>
    <w:p>
      <w:pPr>
        <w:pStyle w:val="Normal"/>
        <w:tabs>
          <w:tab w:val="clear" w:pos="720"/>
          <w:tab w:val="left" w:pos="450" w:leader="none"/>
        </w:tabs>
        <w:ind w:start="450" w:end="0"/>
        <w:rPr>
          <w:sz w:val="22"/>
        </w:rPr>
      </w:pPr>
      <w:r>
        <w:rPr>
          <w:sz w:val="22"/>
        </w:rPr>
        <w:t xml:space="preserve">In Illinois, the utility is the default provider until the commission determines competitiveness exists.  </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7.</w:t>
        <w:tab/>
        <w:t xml:space="preserve">What utilities in the state in general have the highest large customer electric rates and </w:t>
      </w:r>
    </w:p>
    <w:p>
      <w:pPr>
        <w:pStyle w:val="Normal"/>
        <w:tabs>
          <w:tab w:val="clear" w:pos="720"/>
          <w:tab w:val="left" w:pos="450" w:leader="none"/>
        </w:tabs>
        <w:rPr/>
      </w:pPr>
      <w:r>
        <w:rPr>
          <w:b/>
          <w:sz w:val="22"/>
        </w:rPr>
        <w:tab/>
        <w:t>highest commercial customer electric rates?  Why?  How will this change over time?</w:t>
      </w:r>
      <w:r>
        <w:rPr>
          <w:sz w:val="22"/>
        </w:rPr>
        <w:t xml:space="preserve">   </w:t>
      </w:r>
    </w:p>
    <w:p>
      <w:pPr>
        <w:pStyle w:val="Normal"/>
        <w:tabs>
          <w:tab w:val="clear" w:pos="720"/>
          <w:tab w:val="left" w:pos="450" w:leader="none"/>
        </w:tabs>
        <w:rPr>
          <w:sz w:val="22"/>
        </w:rPr>
      </w:pPr>
      <w:r>
        <w:rPr>
          <w:sz w:val="22"/>
        </w:rPr>
      </w:r>
    </w:p>
    <w:p>
      <w:pPr>
        <w:pStyle w:val="Normal"/>
        <w:tabs>
          <w:tab w:val="clear" w:pos="720"/>
          <w:tab w:val="left" w:pos="450" w:leader="none"/>
        </w:tabs>
        <w:ind w:start="450" w:end="0"/>
        <w:rPr>
          <w:sz w:val="22"/>
        </w:rPr>
      </w:pPr>
      <w:r>
        <w:rPr>
          <w:sz w:val="22"/>
        </w:rPr>
        <w:t xml:space="preserve">Typically ComEd has higher industrial rates than Illinois Power.  </w:t>
      </w:r>
    </w:p>
    <w:p>
      <w:pPr>
        <w:pStyle w:val="Normal"/>
        <w:tabs>
          <w:tab w:val="clear" w:pos="720"/>
          <w:tab w:val="left" w:pos="450" w:leader="none"/>
        </w:tabs>
        <w:ind w:start="450" w:end="0"/>
        <w:rPr>
          <w:sz w:val="22"/>
        </w:rPr>
      </w:pPr>
      <w:r>
        <w:rPr>
          <w:sz w:val="22"/>
        </w:rPr>
      </w:r>
    </w:p>
    <w:p>
      <w:pPr>
        <w:pStyle w:val="Normal"/>
        <w:tabs>
          <w:tab w:val="clear" w:pos="720"/>
          <w:tab w:val="left" w:pos="450" w:leader="none"/>
        </w:tabs>
        <w:ind w:start="450" w:end="0"/>
        <w:rPr>
          <w:sz w:val="22"/>
        </w:rPr>
      </w:pPr>
      <w:r>
        <w:rPr>
          <w:sz w:val="22"/>
        </w:rPr>
      </w:r>
      <w:r>
        <w:br w:type="page"/>
      </w:r>
    </w:p>
    <w:p>
      <w:pPr>
        <w:pStyle w:val="Normal"/>
        <w:jc w:val="center"/>
        <w:rPr>
          <w:b/>
          <w:sz w:val="26"/>
        </w:rPr>
      </w:pPr>
      <w:r>
        <w:rPr>
          <w:b/>
          <w:sz w:val="26"/>
        </w:rPr>
        <w:t>Description of State Electricity Competitive Situation</w:t>
        <w:br/>
        <w:t>New Jersey  (2/23/00) Rev.</w:t>
      </w:r>
    </w:p>
    <w:p>
      <w:pPr>
        <w:pStyle w:val="Normal"/>
        <w:tabs>
          <w:tab w:val="clear" w:pos="720"/>
          <w:tab w:val="left" w:pos="450" w:leader="none"/>
        </w:tabs>
        <w:rPr>
          <w:b/>
          <w:sz w:val="22"/>
        </w:rPr>
      </w:pPr>
      <w:r>
        <w:rPr>
          <w:b/>
          <w:sz w:val="22"/>
        </w:rPr>
        <w:t>1.</w:t>
        <w:tab/>
        <w:t>Choice:</w:t>
      </w:r>
    </w:p>
    <w:p>
      <w:pPr>
        <w:pStyle w:val="Normal"/>
        <w:tabs>
          <w:tab w:val="clear" w:pos="720"/>
          <w:tab w:val="left" w:pos="450" w:leader="none"/>
        </w:tabs>
        <w:ind w:start="450" w:end="0"/>
        <w:rPr>
          <w:b/>
          <w:sz w:val="22"/>
        </w:rPr>
      </w:pPr>
      <w:r>
        <w:rPr>
          <w:sz w:val="22"/>
        </w:rPr>
        <w:t>A third party supplier agreement was approved in August 1999 and competition began for all classes of customers on 11/14/99.  On 7/16/99 Conectiv (Atlantic City) restructuring order was issued. Final  order due out  soon.</w:t>
      </w:r>
    </w:p>
    <w:p>
      <w:pPr>
        <w:pStyle w:val="Normal"/>
        <w:tabs>
          <w:tab w:val="clear" w:pos="720"/>
          <w:tab w:val="left" w:pos="450" w:leader="none"/>
        </w:tabs>
        <w:rPr>
          <w:b/>
          <w:sz w:val="22"/>
        </w:rPr>
      </w:pPr>
      <w:r>
        <w:rPr>
          <w:b/>
          <w:sz w:val="22"/>
        </w:rPr>
      </w:r>
    </w:p>
    <w:p>
      <w:pPr>
        <w:pStyle w:val="Normal"/>
        <w:tabs>
          <w:tab w:val="clear" w:pos="720"/>
          <w:tab w:val="left" w:pos="450" w:leader="none"/>
        </w:tabs>
        <w:rPr>
          <w:b/>
          <w:sz w:val="22"/>
        </w:rPr>
      </w:pPr>
      <w:r>
        <w:rPr>
          <w:b/>
          <w:sz w:val="22"/>
        </w:rPr>
        <w:t>2.</w:t>
        <w:tab/>
        <w:t xml:space="preserve">Is there a stranded cost recovery mechanism in the state and how does it work?  Timetable?  </w:t>
      </w:r>
    </w:p>
    <w:p>
      <w:pPr>
        <w:pStyle w:val="Normal"/>
        <w:tabs>
          <w:tab w:val="clear" w:pos="720"/>
          <w:tab w:val="left" w:pos="450" w:leader="none"/>
        </w:tabs>
        <w:rPr>
          <w:sz w:val="22"/>
        </w:rPr>
      </w:pPr>
      <w:r>
        <w:rPr>
          <w:b/>
          <w:sz w:val="22"/>
        </w:rPr>
        <w:tab/>
        <w:t>Any special conditions for industrial and commercial customers?</w:t>
      </w:r>
    </w:p>
    <w:p>
      <w:pPr>
        <w:pStyle w:val="Normal"/>
        <w:tabs>
          <w:tab w:val="clear" w:pos="720"/>
          <w:tab w:val="left" w:pos="450" w:leader="none"/>
        </w:tabs>
        <w:rPr>
          <w:sz w:val="22"/>
        </w:rPr>
      </w:pPr>
      <w:r>
        <w:rPr>
          <w:sz w:val="22"/>
        </w:rPr>
      </w:r>
    </w:p>
    <w:p>
      <w:pPr>
        <w:pStyle w:val="Normal"/>
        <w:tabs>
          <w:tab w:val="clear" w:pos="720"/>
          <w:tab w:val="left" w:pos="450" w:leader="none"/>
        </w:tabs>
        <w:ind w:start="450" w:end="0"/>
        <w:rPr>
          <w:sz w:val="22"/>
        </w:rPr>
      </w:pPr>
      <w:r>
        <w:rPr>
          <w:sz w:val="22"/>
        </w:rPr>
        <w:t>Uses fixed CTC charge recovery method.  PSE&amp;G will be allowed to recover $2.94 billion of generation-related costs via a  CTC--$2.4 billion of which may be securitized, probably over  11 years..  Those bonds may have terms up to 15 years. The  remaining MTC  of  $540 mm to be recovered  in 4 years.  GPU settlement is before PUC.</w:t>
      </w:r>
    </w:p>
    <w:p>
      <w:pPr>
        <w:pStyle w:val="Normal"/>
        <w:tabs>
          <w:tab w:val="clear" w:pos="720"/>
          <w:tab w:val="left" w:pos="450" w:leader="none"/>
        </w:tabs>
        <w:ind w:start="450" w:end="0"/>
        <w:rPr>
          <w:b/>
          <w:sz w:val="22"/>
        </w:rPr>
      </w:pPr>
      <w:r>
        <w:rPr>
          <w:b/>
          <w:sz w:val="22"/>
        </w:rPr>
      </w:r>
    </w:p>
    <w:p>
      <w:pPr>
        <w:pStyle w:val="Normal"/>
        <w:tabs>
          <w:tab w:val="clear" w:pos="720"/>
          <w:tab w:val="left" w:pos="450" w:leader="none"/>
        </w:tabs>
        <w:ind w:hanging="450" w:start="450" w:end="0"/>
        <w:rPr>
          <w:sz w:val="22"/>
        </w:rPr>
      </w:pPr>
      <w:r>
        <w:rPr>
          <w:b/>
          <w:sz w:val="22"/>
        </w:rPr>
        <w:t>3.</w:t>
        <w:tab/>
        <w:t>Do major utilities in the state have shopping credits to help customers to choose their supplier?  How do shopping credits, if applicable, treat T and D costs?  What is the timetable for shopping credits to change?</w:t>
      </w:r>
    </w:p>
    <w:p>
      <w:pPr>
        <w:pStyle w:val="Normal"/>
        <w:tabs>
          <w:tab w:val="clear" w:pos="720"/>
          <w:tab w:val="left" w:pos="450" w:leader="none"/>
        </w:tabs>
        <w:ind w:start="450" w:end="0"/>
        <w:rPr>
          <w:sz w:val="22"/>
        </w:rPr>
      </w:pPr>
      <w:r>
        <w:rPr>
          <w:sz w:val="22"/>
        </w:rPr>
      </w:r>
    </w:p>
    <w:p>
      <w:pPr>
        <w:pStyle w:val="Normal"/>
        <w:tabs>
          <w:tab w:val="clear" w:pos="720"/>
          <w:tab w:val="left" w:pos="450" w:leader="none"/>
        </w:tabs>
        <w:ind w:start="450" w:end="0"/>
        <w:rPr>
          <w:sz w:val="22"/>
        </w:rPr>
      </w:pPr>
      <w:r>
        <w:rPr>
          <w:sz w:val="22"/>
        </w:rPr>
        <w:t>PSE&amp;G shopping credits ( system average ) are:  4.95¢ in 1999, 5.03¢ in 2000, and 5.06¢ in 2001 to 2003. Also  a small  2  mils retail adder.  Higher  adder for GPU and Conectiv.  For Conectiv customers, shopping credits are:  5.27¢ in 1999, 5.31¢ in 2000, 5.37¢ in 2001, 5.42¢ in 2002 and 5.48¢ in 2003.</w:t>
      </w:r>
    </w:p>
    <w:p>
      <w:pPr>
        <w:pStyle w:val="Normal"/>
        <w:tabs>
          <w:tab w:val="clear" w:pos="720"/>
          <w:tab w:val="left" w:pos="450" w:leader="none"/>
        </w:tabs>
        <w:ind w:start="450" w:end="0"/>
        <w:rPr>
          <w:sz w:val="22"/>
        </w:rPr>
      </w:pPr>
      <w:r>
        <w:rPr>
          <w:sz w:val="22"/>
        </w:rPr>
      </w:r>
    </w:p>
    <w:p>
      <w:pPr>
        <w:pStyle w:val="Normal"/>
        <w:tabs>
          <w:tab w:val="clear" w:pos="720"/>
          <w:tab w:val="left" w:pos="450" w:leader="none"/>
        </w:tabs>
        <w:ind w:start="450" w:end="0"/>
        <w:rPr>
          <w:sz w:val="22"/>
        </w:rPr>
      </w:pPr>
      <w:r>
        <w:rPr>
          <w:sz w:val="22"/>
        </w:rPr>
        <w:t>For  Conectiv, 5.14 cents 1999; 5.27 in 2000; 5.31 in 2001; 5.36 in 2002 &amp; 5.4 in 2003.</w:t>
      </w:r>
    </w:p>
    <w:p>
      <w:pPr>
        <w:pStyle w:val="Normal"/>
        <w:tabs>
          <w:tab w:val="clear" w:pos="720"/>
          <w:tab w:val="left" w:pos="450" w:leader="none"/>
        </w:tabs>
        <w:rPr>
          <w:sz w:val="22"/>
        </w:rPr>
      </w:pPr>
      <w:r>
        <w:rPr>
          <w:sz w:val="22"/>
        </w:rPr>
      </w:r>
    </w:p>
    <w:tbl>
      <w:tblPr>
        <w:tblW w:w="9270" w:type="dxa"/>
        <w:jc w:val="start"/>
        <w:tblInd w:w="558" w:type="dxa"/>
        <w:tblLayout w:type="fixed"/>
        <w:tblCellMar>
          <w:top w:w="0" w:type="dxa"/>
          <w:start w:w="108" w:type="dxa"/>
          <w:bottom w:w="0" w:type="dxa"/>
          <w:end w:w="108" w:type="dxa"/>
        </w:tblCellMar>
      </w:tblPr>
      <w:tblGrid>
        <w:gridCol w:w="1440"/>
        <w:gridCol w:w="1170"/>
        <w:gridCol w:w="900"/>
        <w:gridCol w:w="1260"/>
        <w:gridCol w:w="1440"/>
        <w:gridCol w:w="1080"/>
        <w:gridCol w:w="810"/>
        <w:gridCol w:w="1170"/>
      </w:tblGrid>
      <w:tr>
        <w:trPr/>
        <w:tc>
          <w:tcPr>
            <w:tcW w:w="144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All Customers</w:t>
            </w:r>
          </w:p>
          <w:p>
            <w:pPr>
              <w:pStyle w:val="Normal"/>
              <w:tabs>
                <w:tab w:val="clear" w:pos="720"/>
                <w:tab w:val="left" w:pos="450" w:leader="none"/>
              </w:tabs>
              <w:spacing w:lineRule="exact" w:line="240"/>
              <w:jc w:val="center"/>
              <w:rPr>
                <w:sz w:val="20"/>
              </w:rPr>
            </w:pPr>
            <w:r>
              <w:rPr>
                <w:sz w:val="20"/>
              </w:rPr>
              <w:t>PSE&amp;G</w:t>
            </w:r>
          </w:p>
        </w:tc>
        <w:tc>
          <w:tcPr>
            <w:tcW w:w="117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Mandated</w:t>
            </w:r>
          </w:p>
          <w:p>
            <w:pPr>
              <w:pStyle w:val="Normal"/>
              <w:tabs>
                <w:tab w:val="clear" w:pos="720"/>
                <w:tab w:val="left" w:pos="450" w:leader="none"/>
              </w:tabs>
              <w:spacing w:lineRule="exact" w:line="240"/>
              <w:jc w:val="center"/>
              <w:rPr>
                <w:sz w:val="20"/>
              </w:rPr>
            </w:pPr>
            <w:r>
              <w:rPr>
                <w:sz w:val="20"/>
              </w:rPr>
              <w:t>%</w:t>
            </w:r>
          </w:p>
        </w:tc>
        <w:tc>
          <w:tcPr>
            <w:tcW w:w="90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Tax</w:t>
            </w:r>
          </w:p>
          <w:p>
            <w:pPr>
              <w:pStyle w:val="Normal"/>
              <w:tabs>
                <w:tab w:val="clear" w:pos="720"/>
                <w:tab w:val="left" w:pos="450" w:leader="none"/>
              </w:tabs>
              <w:spacing w:lineRule="exact" w:line="240"/>
              <w:jc w:val="center"/>
              <w:rPr>
                <w:sz w:val="20"/>
              </w:rPr>
            </w:pPr>
            <w:r>
              <w:rPr>
                <w:sz w:val="20"/>
              </w:rPr>
              <w:t>Cut %</w:t>
            </w:r>
          </w:p>
        </w:tc>
        <w:tc>
          <w:tcPr>
            <w:tcW w:w="126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Total</w:t>
              <w:br/>
              <w:t>Cumulative</w:t>
            </w:r>
          </w:p>
        </w:tc>
        <w:tc>
          <w:tcPr>
            <w:tcW w:w="144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All Customers</w:t>
            </w:r>
          </w:p>
          <w:p>
            <w:pPr>
              <w:pStyle w:val="Normal"/>
              <w:tabs>
                <w:tab w:val="clear" w:pos="720"/>
                <w:tab w:val="left" w:pos="450" w:leader="none"/>
              </w:tabs>
              <w:spacing w:lineRule="exact" w:line="240"/>
              <w:jc w:val="center"/>
              <w:rPr>
                <w:sz w:val="20"/>
              </w:rPr>
            </w:pPr>
            <w:r>
              <w:rPr>
                <w:sz w:val="20"/>
              </w:rPr>
              <w:t>GPU</w:t>
            </w:r>
          </w:p>
        </w:tc>
        <w:tc>
          <w:tcPr>
            <w:tcW w:w="108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Mandated</w:t>
            </w:r>
          </w:p>
          <w:p>
            <w:pPr>
              <w:pStyle w:val="Normal"/>
              <w:tabs>
                <w:tab w:val="clear" w:pos="720"/>
                <w:tab w:val="left" w:pos="450" w:leader="none"/>
              </w:tabs>
              <w:spacing w:lineRule="exact" w:line="240"/>
              <w:jc w:val="center"/>
              <w:rPr>
                <w:sz w:val="20"/>
              </w:rPr>
            </w:pPr>
            <w:r>
              <w:rPr>
                <w:sz w:val="20"/>
              </w:rPr>
              <w:t>%</w:t>
            </w:r>
          </w:p>
        </w:tc>
        <w:tc>
          <w:tcPr>
            <w:tcW w:w="81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Tax</w:t>
            </w:r>
          </w:p>
          <w:p>
            <w:pPr>
              <w:pStyle w:val="Normal"/>
              <w:tabs>
                <w:tab w:val="clear" w:pos="720"/>
                <w:tab w:val="left" w:pos="450" w:leader="none"/>
              </w:tabs>
              <w:spacing w:lineRule="exact" w:line="240"/>
              <w:jc w:val="center"/>
              <w:rPr>
                <w:sz w:val="20"/>
              </w:rPr>
            </w:pPr>
            <w:r>
              <w:rPr>
                <w:sz w:val="20"/>
              </w:rPr>
              <w:t>Cut %</w:t>
            </w:r>
          </w:p>
        </w:tc>
        <w:tc>
          <w:tcPr>
            <w:tcW w:w="1170" w:type="dxa"/>
            <w:tcBorders>
              <w:top w:val="single" w:sz="4" w:space="0" w:color="000000"/>
              <w:start w:val="single" w:sz="4" w:space="0" w:color="000000"/>
              <w:bottom w:val="double" w:sz="18" w:space="0" w:color="000000"/>
              <w:end w:val="single" w:sz="4" w:space="0" w:color="000000"/>
            </w:tcBorders>
          </w:tcPr>
          <w:p>
            <w:pPr>
              <w:pStyle w:val="Normal"/>
              <w:tabs>
                <w:tab w:val="clear" w:pos="720"/>
                <w:tab w:val="left" w:pos="450" w:leader="none"/>
              </w:tabs>
              <w:spacing w:lineRule="exact" w:line="240"/>
              <w:jc w:val="center"/>
              <w:rPr>
                <w:sz w:val="20"/>
              </w:rPr>
            </w:pPr>
            <w:r>
              <w:rPr>
                <w:sz w:val="20"/>
              </w:rPr>
              <w:t>Total</w:t>
            </w:r>
          </w:p>
          <w:p>
            <w:pPr>
              <w:pStyle w:val="Normal"/>
              <w:tabs>
                <w:tab w:val="clear" w:pos="720"/>
                <w:tab w:val="left" w:pos="450" w:leader="none"/>
              </w:tabs>
              <w:spacing w:lineRule="exact" w:line="240"/>
              <w:jc w:val="center"/>
              <w:rPr>
                <w:sz w:val="20"/>
              </w:rPr>
            </w:pPr>
            <w:r>
              <w:rPr>
                <w:sz w:val="20"/>
              </w:rPr>
              <w:t>Cumulative</w:t>
            </w:r>
          </w:p>
        </w:tc>
      </w:tr>
      <w:tr>
        <w:trPr/>
        <w:tc>
          <w:tcPr>
            <w:tcW w:w="144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rPr>
                <w:sz w:val="22"/>
              </w:rPr>
            </w:pPr>
            <w:r>
              <w:rPr>
                <w:sz w:val="22"/>
              </w:rPr>
              <w:t>8/1/99</w:t>
            </w:r>
          </w:p>
        </w:tc>
        <w:tc>
          <w:tcPr>
            <w:tcW w:w="117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5</w:t>
            </w:r>
          </w:p>
        </w:tc>
        <w:tc>
          <w:tcPr>
            <w:tcW w:w="90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1</w:t>
            </w:r>
          </w:p>
        </w:tc>
        <w:tc>
          <w:tcPr>
            <w:tcW w:w="126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6%</w:t>
            </w:r>
          </w:p>
        </w:tc>
        <w:tc>
          <w:tcPr>
            <w:tcW w:w="144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rPr>
                <w:sz w:val="22"/>
              </w:rPr>
            </w:pPr>
            <w:r>
              <w:rPr>
                <w:sz w:val="22"/>
              </w:rPr>
              <w:t>8/1/99</w:t>
            </w:r>
          </w:p>
        </w:tc>
        <w:tc>
          <w:tcPr>
            <w:tcW w:w="108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5</w:t>
            </w:r>
          </w:p>
        </w:tc>
        <w:tc>
          <w:tcPr>
            <w:tcW w:w="81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1</w:t>
            </w:r>
          </w:p>
        </w:tc>
        <w:tc>
          <w:tcPr>
            <w:tcW w:w="1170" w:type="dxa"/>
            <w:tcBorders>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6%</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rPr>
                <w:sz w:val="22"/>
              </w:rPr>
            </w:pPr>
            <w:r>
              <w:rPr>
                <w:sz w:val="22"/>
              </w:rPr>
              <w:t>1/1/00</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7</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rPr>
                <w:sz w:val="22"/>
              </w:rPr>
            </w:pPr>
            <w:r>
              <w:rPr>
                <w:sz w:val="22"/>
              </w:rPr>
              <w:t>8/1/00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6</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8%</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rPr>
                <w:sz w:val="22"/>
              </w:rPr>
            </w:pPr>
            <w:r>
              <w:rPr>
                <w:sz w:val="22"/>
              </w:rPr>
              <w:t>8/1/01</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9</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12%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rPr>
                <w:sz w:val="22"/>
              </w:rPr>
            </w:pPr>
            <w:r>
              <w:rPr>
                <w:sz w:val="22"/>
              </w:rPr>
              <w:t>8/1/01</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8</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3</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spacing w:lineRule="exact" w:line="300"/>
              <w:jc w:val="center"/>
              <w:rPr>
                <w:sz w:val="22"/>
              </w:rPr>
            </w:pPr>
            <w:r>
              <w:rPr>
                <w:sz w:val="22"/>
              </w:rPr>
              <w:t>11%</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rPr>
                <w:sz w:val="22"/>
              </w:rPr>
            </w:pPr>
            <w:r>
              <w:rPr>
                <w:sz w:val="22"/>
              </w:rPr>
              <w:t>8/1/02</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13.9</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4</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17.9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rPr>
                <w:sz w:val="22"/>
              </w:rPr>
            </w:pPr>
            <w:r>
              <w:rPr>
                <w:sz w:val="22"/>
              </w:rPr>
              <w:t>8/1/02 to</w:t>
            </w:r>
          </w:p>
          <w:p>
            <w:pPr>
              <w:pStyle w:val="Normal"/>
              <w:tabs>
                <w:tab w:val="clear" w:pos="720"/>
                <w:tab w:val="left" w:pos="450" w:leader="none"/>
              </w:tabs>
              <w:rPr>
                <w:sz w:val="22"/>
              </w:rPr>
            </w:pPr>
            <w:r>
              <w:rPr>
                <w:sz w:val="22"/>
              </w:rPr>
              <w:t>12/31/02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11</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4</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15%</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rPr>
                <w:sz w:val="22"/>
              </w:rPr>
            </w:pPr>
            <w:r>
              <w:rPr>
                <w:sz w:val="22"/>
              </w:rPr>
              <w:t>1/1/03 to</w:t>
              <w:br/>
              <w:t>1/31/03</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13.9</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18.9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rPr>
                <w:sz w:val="22"/>
              </w:rPr>
            </w:pPr>
            <w:r>
              <w:rPr>
                <w:sz w:val="22"/>
              </w:rPr>
              <w:t>1/1/03 to</w:t>
            </w:r>
          </w:p>
          <w:p>
            <w:pPr>
              <w:pStyle w:val="Normal"/>
              <w:tabs>
                <w:tab w:val="clear" w:pos="720"/>
                <w:tab w:val="left" w:pos="450" w:leader="none"/>
              </w:tabs>
              <w:rPr>
                <w:sz w:val="22"/>
              </w:rPr>
            </w:pPr>
            <w:r>
              <w:rPr>
                <w:sz w:val="22"/>
              </w:rPr>
              <w:t>7/31/03</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11</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50" w:leader="none"/>
              </w:tabs>
              <w:jc w:val="center"/>
              <w:rPr>
                <w:sz w:val="22"/>
              </w:rPr>
            </w:pPr>
            <w:r>
              <w:rPr>
                <w:sz w:val="22"/>
              </w:rPr>
              <w:t>16%</w:t>
            </w:r>
          </w:p>
        </w:tc>
      </w:tr>
    </w:tbl>
    <w:p>
      <w:pPr>
        <w:pStyle w:val="Normal"/>
        <w:tabs>
          <w:tab w:val="clear" w:pos="720"/>
          <w:tab w:val="left" w:pos="450" w:leader="none"/>
        </w:tabs>
        <w:spacing w:lineRule="exact" w:line="320"/>
        <w:rPr>
          <w:sz w:val="22"/>
        </w:rPr>
      </w:pPr>
      <w:r>
        <w:rPr>
          <w:sz w:val="22"/>
        </w:rPr>
        <w:t>Note:  The   2 percent  tax  cut  delayed on appeal.  Tax  cuts  to be  as of  1/1/each year.</w:t>
      </w:r>
    </w:p>
    <w:p>
      <w:pPr>
        <w:pStyle w:val="Normal"/>
        <w:tabs>
          <w:tab w:val="clear" w:pos="720"/>
          <w:tab w:val="left" w:pos="450" w:leader="none"/>
        </w:tabs>
        <w:rPr>
          <w:b/>
          <w:sz w:val="22"/>
        </w:rPr>
      </w:pPr>
      <w:r>
        <w:rPr>
          <w:b/>
          <w:sz w:val="22"/>
        </w:rPr>
        <w:t>4.</w:t>
        <w:tab/>
        <w:t xml:space="preserve">Are mandated savings required?  </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A 5% discount  is provided as of market opening. Discount to be up to 10 percent in 36 months.  A recent tax code change cuts another 1%.  Differs over time for PSE&amp;G, and GPU (see table).</w:t>
      </w:r>
    </w:p>
    <w:p>
      <w:pPr>
        <w:pStyle w:val="Normal"/>
        <w:tabs>
          <w:tab w:val="clear" w:pos="720"/>
          <w:tab w:val="left" w:pos="450" w:leader="none"/>
        </w:tabs>
        <w:rPr>
          <w:b/>
          <w:sz w:val="22"/>
        </w:rPr>
      </w:pPr>
      <w:r>
        <w:rPr>
          <w:b/>
          <w:sz w:val="22"/>
        </w:rPr>
      </w:r>
    </w:p>
    <w:p>
      <w:pPr>
        <w:pStyle w:val="Normal"/>
        <w:tabs>
          <w:tab w:val="clear" w:pos="720"/>
          <w:tab w:val="left" w:pos="450" w:leader="none"/>
        </w:tabs>
        <w:rPr/>
      </w:pPr>
      <w:r>
        <w:rPr>
          <w:b/>
          <w:sz w:val="22"/>
        </w:rPr>
        <w:t>5.</w:t>
        <w:tab/>
        <w:t>Are utilities mandated to divest generation?  Are they doing it on a voluntary basis?</w:t>
      </w:r>
      <w:r>
        <w:rPr>
          <w:sz w:val="22"/>
        </w:rPr>
        <w:t xml:space="preserve">  </w:t>
      </w:r>
    </w:p>
    <w:p>
      <w:pPr>
        <w:pStyle w:val="Normal"/>
        <w:tabs>
          <w:tab w:val="clear" w:pos="720"/>
          <w:tab w:val="left" w:pos="450" w:leader="none"/>
        </w:tabs>
        <w:rPr>
          <w:sz w:val="22"/>
        </w:rPr>
      </w:pPr>
      <w:r>
        <w:rPr>
          <w:sz w:val="22"/>
        </w:rPr>
      </w:r>
    </w:p>
    <w:p>
      <w:pPr>
        <w:pStyle w:val="Normal"/>
        <w:tabs>
          <w:tab w:val="clear" w:pos="720"/>
          <w:tab w:val="left" w:pos="450" w:leader="none"/>
        </w:tabs>
        <w:ind w:start="450" w:end="0"/>
        <w:rPr>
          <w:sz w:val="22"/>
        </w:rPr>
      </w:pPr>
      <w:r>
        <w:rPr>
          <w:sz w:val="22"/>
        </w:rPr>
        <w:t>Voluntary generation divestiture applies.  GPU has divested most  generation; plans to sell all.</w:t>
      </w:r>
    </w:p>
    <w:p>
      <w:pPr>
        <w:pStyle w:val="Normal"/>
        <w:tabs>
          <w:tab w:val="clear" w:pos="720"/>
          <w:tab w:val="left" w:pos="450" w:leader="none"/>
        </w:tabs>
        <w:ind w:start="450" w:end="0"/>
        <w:rPr>
          <w:sz w:val="22"/>
        </w:rPr>
      </w:pPr>
      <w:r>
        <w:rPr>
          <w:sz w:val="22"/>
        </w:rPr>
        <w:t>PSE&amp;G generation  goes  to  affiliate ;  Conectiv   to keep  only peakers.</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6.</w:t>
        <w:tab/>
        <w:t xml:space="preserve">Is a default supplier mechanism in place?  </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The default provider (called Basic Generation Supply) now is utility but  is open to competition in year  3  for year 4..  Default provider has no fuel cost recovery charge.</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7.</w:t>
        <w:tab/>
        <w:t xml:space="preserve">What utilities in the state in general have the highest large customer electric rates and </w:t>
        <w:tab/>
        <w:t xml:space="preserve">highest </w:t>
      </w:r>
    </w:p>
    <w:p>
      <w:pPr>
        <w:pStyle w:val="Normal"/>
        <w:tabs>
          <w:tab w:val="clear" w:pos="720"/>
          <w:tab w:val="left" w:pos="450" w:leader="none"/>
        </w:tabs>
        <w:rPr>
          <w:b/>
          <w:sz w:val="22"/>
        </w:rPr>
      </w:pPr>
      <w:r>
        <w:rPr>
          <w:b/>
          <w:sz w:val="22"/>
        </w:rPr>
        <w:tab/>
        <w:t>commercial customer electric rates?  Why? How  will it change?   PSE&amp;G and GPU  comparable.</w:t>
      </w:r>
    </w:p>
    <w:p>
      <w:pPr>
        <w:pStyle w:val="Normal"/>
        <w:tabs>
          <w:tab w:val="clear" w:pos="720"/>
          <w:tab w:val="left" w:pos="450" w:leader="none"/>
        </w:tabs>
        <w:rPr>
          <w:b/>
          <w:sz w:val="22"/>
        </w:rPr>
      </w:pPr>
      <w:r>
        <w:rPr>
          <w:b/>
          <w:sz w:val="22"/>
        </w:rPr>
      </w:r>
    </w:p>
    <w:p>
      <w:pPr>
        <w:pStyle w:val="Normal"/>
        <w:jc w:val="center"/>
        <w:rPr/>
      </w:pPr>
      <w:r>
        <w:rPr>
          <w:b/>
          <w:sz w:val="26"/>
        </w:rPr>
        <w:t>Description of State Electricity Competitive Situation</w:t>
        <w:br/>
        <w:t>State: Texas (2/23/00</w:t>
      </w:r>
      <w:r>
        <w:rPr>
          <w:b/>
        </w:rPr>
        <w:t>)</w:t>
      </w:r>
    </w:p>
    <w:p>
      <w:pPr>
        <w:pStyle w:val="Normal"/>
        <w:jc w:val="center"/>
        <w:rPr>
          <w:b/>
          <w:sz w:val="22"/>
        </w:rPr>
      </w:pPr>
      <w:r>
        <w:rPr>
          <w:b/>
          <w:sz w:val="22"/>
        </w:rPr>
      </w:r>
    </w:p>
    <w:p>
      <w:pPr>
        <w:pStyle w:val="Normal"/>
        <w:jc w:val="center"/>
        <w:rPr>
          <w:b/>
          <w:sz w:val="22"/>
        </w:rPr>
      </w:pPr>
      <w:r>
        <w:rPr>
          <w:b/>
          <w:sz w:val="22"/>
        </w:rPr>
      </w:r>
    </w:p>
    <w:p>
      <w:pPr>
        <w:pStyle w:val="Normal"/>
        <w:tabs>
          <w:tab w:val="clear" w:pos="720"/>
          <w:tab w:val="left" w:pos="450" w:leader="none"/>
        </w:tabs>
        <w:rPr/>
      </w:pPr>
      <w:r>
        <w:rPr>
          <w:b/>
          <w:sz w:val="22"/>
        </w:rPr>
        <w:t>1.</w:t>
        <w:tab/>
        <w:t xml:space="preserve">Choice:  </w:t>
      </w:r>
      <w:r>
        <w:rPr>
          <w:sz w:val="22"/>
        </w:rPr>
        <w:t>Begins 1/1/02</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2.</w:t>
        <w:tab/>
        <w:t xml:space="preserve">Is there a stranded cost recovery mechanism in the state and how does it work?  Timetable?  </w:t>
      </w:r>
    </w:p>
    <w:p>
      <w:pPr>
        <w:pStyle w:val="Normal"/>
        <w:tabs>
          <w:tab w:val="clear" w:pos="720"/>
          <w:tab w:val="left" w:pos="450" w:leader="none"/>
        </w:tabs>
        <w:rPr/>
      </w:pPr>
      <w:r>
        <w:rPr>
          <w:sz w:val="22"/>
        </w:rPr>
        <w:tab/>
      </w:r>
      <w:r>
        <w:rPr>
          <w:b/>
          <w:sz w:val="22"/>
        </w:rPr>
        <w:t>Any special conditions for industrial and commercial customers?</w:t>
      </w:r>
    </w:p>
    <w:p>
      <w:pPr>
        <w:pStyle w:val="Normal"/>
        <w:tabs>
          <w:tab w:val="clear" w:pos="720"/>
          <w:tab w:val="left" w:pos="450" w:leader="none"/>
        </w:tabs>
        <w:rPr>
          <w:b/>
          <w:sz w:val="22"/>
        </w:rPr>
      </w:pPr>
      <w:r>
        <w:rPr>
          <w:b/>
          <w:sz w:val="22"/>
        </w:rPr>
        <w:tab/>
      </w:r>
    </w:p>
    <w:p>
      <w:pPr>
        <w:pStyle w:val="Normal"/>
        <w:tabs>
          <w:tab w:val="clear" w:pos="720"/>
          <w:tab w:val="left" w:pos="450" w:leader="none"/>
        </w:tabs>
        <w:ind w:start="450" w:end="0"/>
        <w:rPr>
          <w:sz w:val="22"/>
        </w:rPr>
      </w:pPr>
      <w:r>
        <w:rPr>
          <w:sz w:val="22"/>
        </w:rPr>
        <w:t>Uses fixed CTC charge recovery method.  CTC charge lasts up to 15 years.  Filings begin in April of 2000.  Allows utilities to securitize 100% of their qualified regulatory assets and up to 75% of estimated other stranded costs, including high cost PURPA contracts.  Also allows recovery of costs before 2004 to make dirty power plants comply with clean air rules.</w:t>
      </w:r>
    </w:p>
    <w:p>
      <w:pPr>
        <w:pStyle w:val="Normal"/>
        <w:tabs>
          <w:tab w:val="clear" w:pos="720"/>
          <w:tab w:val="left" w:pos="450" w:leader="none"/>
        </w:tabs>
        <w:ind w:start="450" w:end="0"/>
        <w:rPr>
          <w:sz w:val="22"/>
        </w:rPr>
      </w:pPr>
      <w:r>
        <w:rPr>
          <w:sz w:val="22"/>
        </w:rPr>
      </w:r>
    </w:p>
    <w:p>
      <w:pPr>
        <w:pStyle w:val="Normal"/>
        <w:tabs>
          <w:tab w:val="clear" w:pos="720"/>
          <w:tab w:val="left" w:pos="450" w:leader="none"/>
        </w:tabs>
        <w:ind w:start="450" w:end="0"/>
        <w:rPr>
          <w:sz w:val="22"/>
        </w:rPr>
      </w:pPr>
      <w:r>
        <w:rPr>
          <w:sz w:val="22"/>
        </w:rPr>
        <w:t>CPL tentatively authorized to issue $792 million in bonds to securitize $764 million of regulatory assets and $28 million other qualified costs.  Reliant filed for roughly $1 billion of securitization bonds and Texas Utilities filed for $1.65 billion of asset securitization bonds.</w:t>
      </w:r>
    </w:p>
    <w:p>
      <w:pPr>
        <w:pStyle w:val="Normal"/>
        <w:tabs>
          <w:tab w:val="clear" w:pos="720"/>
          <w:tab w:val="left" w:pos="450" w:leader="none"/>
        </w:tabs>
        <w:ind w:start="450" w:end="0"/>
        <w:rPr>
          <w:i/>
          <w:i/>
          <w:sz w:val="22"/>
        </w:rPr>
      </w:pPr>
      <w:r>
        <w:rPr>
          <w:i/>
          <w:sz w:val="22"/>
        </w:rPr>
      </w:r>
    </w:p>
    <w:p>
      <w:pPr>
        <w:pStyle w:val="Normal"/>
        <w:tabs>
          <w:tab w:val="clear" w:pos="720"/>
          <w:tab w:val="left" w:pos="450" w:leader="none"/>
        </w:tabs>
        <w:ind w:hanging="450" w:start="450" w:end="0"/>
        <w:rPr/>
      </w:pPr>
      <w:r>
        <w:rPr>
          <w:b/>
          <w:sz w:val="22"/>
        </w:rPr>
        <w:t>3.</w:t>
        <w:tab/>
        <w:t>Do major utilities in the state have shopping credits that help customers to choose their supplier?  How do shopping credits, if applicable, treat T and D costs?  What is the timetable for shopping credits to change</w:t>
      </w:r>
      <w:r>
        <w:rPr>
          <w:sz w:val="22"/>
        </w:rPr>
        <w:t>?</w:t>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tab/>
        <w:t>Shopping credits not set.</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4.</w:t>
        <w:tab/>
        <w:t>Are mandated savings required?</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 xml:space="preserve">All small customers of utilities subject to SB7 law receive a 6% reduction as of 1/1/02.  Affiliated retail electric provider shall make available to residential and small commercial customers of its affiliated T&amp;D utility, with less than 1 MW peak use, rates that are on a bundled basis 6% lower than the utility's bundled rates. </w:t>
      </w:r>
    </w:p>
    <w:p>
      <w:pPr>
        <w:pStyle w:val="Normal"/>
        <w:tabs>
          <w:tab w:val="clear" w:pos="720"/>
          <w:tab w:val="left" w:pos="450" w:leader="none"/>
        </w:tabs>
        <w:ind w:start="450" w:end="0"/>
        <w:rPr>
          <w:sz w:val="22"/>
        </w:rPr>
      </w:pPr>
      <w:r>
        <w:rPr>
          <w:sz w:val="22"/>
        </w:rPr>
      </w:r>
    </w:p>
    <w:p>
      <w:pPr>
        <w:pStyle w:val="Normal"/>
        <w:tabs>
          <w:tab w:val="clear" w:pos="720"/>
          <w:tab w:val="left" w:pos="450" w:leader="none"/>
        </w:tabs>
        <w:ind w:start="450" w:end="0"/>
        <w:rPr>
          <w:sz w:val="22"/>
        </w:rPr>
      </w:pPr>
      <w:r>
        <w:rPr>
          <w:sz w:val="22"/>
        </w:rPr>
        <w:t>Rates are frozen as of September 1999 level but freeze does not include fuel factor cost pass through which rates can increase.  The utility is also allowed to file for new rates or tariff options.</w:t>
      </w:r>
    </w:p>
    <w:p>
      <w:pPr>
        <w:pStyle w:val="Normal"/>
        <w:tabs>
          <w:tab w:val="clear" w:pos="720"/>
          <w:tab w:val="left" w:pos="450" w:leader="none"/>
        </w:tabs>
        <w:rPr>
          <w:sz w:val="22"/>
        </w:rPr>
      </w:pPr>
      <w:r>
        <w:rPr>
          <w:sz w:val="22"/>
        </w:rPr>
      </w:r>
    </w:p>
    <w:p>
      <w:pPr>
        <w:pStyle w:val="Normal"/>
        <w:tabs>
          <w:tab w:val="clear" w:pos="720"/>
          <w:tab w:val="left" w:pos="450" w:leader="none"/>
        </w:tabs>
        <w:rPr>
          <w:b/>
          <w:sz w:val="22"/>
        </w:rPr>
      </w:pPr>
      <w:r>
        <w:rPr>
          <w:b/>
          <w:sz w:val="22"/>
        </w:rPr>
        <w:t>5.</w:t>
        <w:tab/>
        <w:t xml:space="preserve">Are utilities mandated to divest generation?  Are they doing it on a voluntary basis?  </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 xml:space="preserve">Utilities subject to Rule 39 of unbundling draft are required to auction at least 15% of their generation capacity at least 60 days prior to customer choice.  Texas Utilities plans to sell 6 power plants with 3.1 GW, or 18% of its capacity. </w:t>
      </w:r>
    </w:p>
    <w:p>
      <w:pPr>
        <w:pStyle w:val="Normal"/>
        <w:tabs>
          <w:tab w:val="clear" w:pos="720"/>
          <w:tab w:val="left" w:pos="450" w:leader="none"/>
        </w:tabs>
        <w:ind w:start="450" w:end="0"/>
        <w:rPr>
          <w:sz w:val="22"/>
        </w:rPr>
      </w:pPr>
      <w:r>
        <w:rPr>
          <w:sz w:val="22"/>
        </w:rPr>
      </w:r>
    </w:p>
    <w:p>
      <w:pPr>
        <w:pStyle w:val="Normal"/>
        <w:tabs>
          <w:tab w:val="clear" w:pos="720"/>
          <w:tab w:val="left" w:pos="450" w:leader="none"/>
        </w:tabs>
        <w:rPr>
          <w:b/>
          <w:sz w:val="22"/>
        </w:rPr>
      </w:pPr>
      <w:r>
        <w:rPr>
          <w:b/>
          <w:sz w:val="22"/>
        </w:rPr>
        <w:t>6.</w:t>
        <w:tab/>
        <w:t>Is a default supplier mechanism in place?</w:t>
      </w:r>
    </w:p>
    <w:p>
      <w:pPr>
        <w:pStyle w:val="Normal"/>
        <w:tabs>
          <w:tab w:val="clear" w:pos="720"/>
          <w:tab w:val="left" w:pos="450" w:leader="none"/>
        </w:tabs>
        <w:rPr>
          <w:b/>
          <w:sz w:val="22"/>
        </w:rPr>
      </w:pPr>
      <w:r>
        <w:rPr>
          <w:b/>
          <w:sz w:val="22"/>
        </w:rPr>
      </w:r>
    </w:p>
    <w:p>
      <w:pPr>
        <w:pStyle w:val="Normal"/>
        <w:tabs>
          <w:tab w:val="clear" w:pos="720"/>
          <w:tab w:val="left" w:pos="450" w:leader="none"/>
        </w:tabs>
        <w:ind w:start="450" w:end="0"/>
        <w:rPr>
          <w:sz w:val="22"/>
        </w:rPr>
      </w:pPr>
      <w:r>
        <w:rPr>
          <w:sz w:val="22"/>
        </w:rPr>
        <w:t xml:space="preserve"> </w:t>
      </w:r>
      <w:r>
        <w:rPr>
          <w:sz w:val="22"/>
        </w:rPr>
        <w:t>No process yet of how utility provider of last resort will work, but it will apply to areas of the state in which customer choice is in effect.  Provider of last resort will be named by 6/1/01.  Default supplier has a fuel cost recovery charge.</w:t>
      </w:r>
    </w:p>
    <w:p>
      <w:pPr>
        <w:pStyle w:val="Normal"/>
        <w:tabs>
          <w:tab w:val="clear" w:pos="720"/>
          <w:tab w:val="left" w:pos="450" w:leader="none"/>
        </w:tabs>
        <w:ind w:start="450" w:end="0"/>
        <w:rPr>
          <w:sz w:val="22"/>
        </w:rPr>
      </w:pPr>
      <w:r>
        <w:rPr>
          <w:sz w:val="22"/>
        </w:rPr>
      </w:r>
    </w:p>
    <w:p>
      <w:pPr>
        <w:pStyle w:val="Normal"/>
        <w:tabs>
          <w:tab w:val="clear" w:pos="720"/>
          <w:tab w:val="left" w:pos="450" w:leader="none"/>
        </w:tabs>
        <w:ind w:start="450" w:end="0"/>
        <w:rPr>
          <w:sz w:val="22"/>
        </w:rPr>
      </w:pPr>
      <w:r>
        <w:rPr>
          <w:sz w:val="22"/>
        </w:rPr>
        <w:t>If a small customer does nothing about switching, its default supplier is the affiliate of its former utility.  If a large, it is unclear but likely to be the affiliate of its former utility.</w:t>
      </w:r>
    </w:p>
    <w:p>
      <w:pPr>
        <w:pStyle w:val="Normal"/>
        <w:tabs>
          <w:tab w:val="clear" w:pos="720"/>
          <w:tab w:val="left" w:pos="450" w:leader="none"/>
        </w:tabs>
        <w:rPr>
          <w:b/>
          <w:sz w:val="22"/>
        </w:rPr>
      </w:pPr>
      <w:r>
        <w:rPr>
          <w:b/>
          <w:sz w:val="22"/>
        </w:rPr>
      </w:r>
    </w:p>
    <w:p>
      <w:pPr>
        <w:pStyle w:val="Normal"/>
        <w:tabs>
          <w:tab w:val="clear" w:pos="720"/>
          <w:tab w:val="left" w:pos="450" w:leader="none"/>
        </w:tabs>
        <w:rPr>
          <w:b/>
          <w:sz w:val="22"/>
        </w:rPr>
      </w:pPr>
      <w:r>
        <w:rPr>
          <w:b/>
          <w:sz w:val="22"/>
        </w:rPr>
        <w:t>7.</w:t>
        <w:tab/>
        <w:t xml:space="preserve">What utilities in the state in general have the highest large customer electric rates and highest </w:t>
      </w:r>
    </w:p>
    <w:p>
      <w:pPr>
        <w:pStyle w:val="Normal"/>
        <w:tabs>
          <w:tab w:val="clear" w:pos="720"/>
          <w:tab w:val="left" w:pos="450" w:leader="none"/>
        </w:tabs>
        <w:rPr>
          <w:b/>
          <w:sz w:val="22"/>
        </w:rPr>
      </w:pPr>
      <w:r>
        <w:rPr>
          <w:b/>
          <w:sz w:val="22"/>
        </w:rPr>
        <w:tab/>
        <w:t xml:space="preserve">commercial customer electric rates?  Why?  How will this change over time?   </w:t>
      </w:r>
    </w:p>
    <w:p>
      <w:pPr>
        <w:pStyle w:val="Normal"/>
        <w:tabs>
          <w:tab w:val="clear" w:pos="720"/>
          <w:tab w:val="left" w:pos="450" w:leader="none"/>
        </w:tabs>
        <w:ind w:start="450" w:end="0"/>
        <w:rPr>
          <w:b/>
          <w:sz w:val="22"/>
        </w:rPr>
      </w:pPr>
      <w:r>
        <w:rPr>
          <w:b/>
          <w:sz w:val="22"/>
        </w:rPr>
      </w:r>
    </w:p>
    <w:p>
      <w:pPr>
        <w:pStyle w:val="Normal"/>
        <w:tabs>
          <w:tab w:val="clear" w:pos="720"/>
          <w:tab w:val="left" w:pos="450" w:leader="none"/>
        </w:tabs>
        <w:ind w:start="450" w:end="0"/>
        <w:rPr>
          <w:sz w:val="22"/>
        </w:rPr>
      </w:pPr>
      <w:r>
        <w:rPr>
          <w:sz w:val="22"/>
        </w:rPr>
        <w:t>Typically Reliant/HL&amp;P has higher industrial rates than Texas Utilities.</w:t>
      </w:r>
    </w:p>
    <w:p>
      <w:pPr>
        <w:pStyle w:val="Normal"/>
        <w:rPr>
          <w:sz w:val="22"/>
        </w:rPr>
      </w:pPr>
      <w:r>
        <w:rPr>
          <w:sz w:val="22"/>
        </w:rPr>
      </w:r>
    </w:p>
    <w:sectPr>
      <w:footerReference w:type="default" r:id="rId2"/>
      <w:type w:val="nextPage"/>
      <w:pgSz w:w="12240" w:h="15840"/>
      <w:pgMar w:left="1296" w:right="1296" w:gutter="0" w:header="0" w:top="1008"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m014-4</w:t>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2000-02-23T17:22:00Z</dcterms:created>
  <dc:creator>jstrans</dc:creator>
  <dc:description/>
  <dc:language>en-CA</dc:language>
  <cp:lastModifiedBy>mcarson</cp:lastModifiedBy>
  <cp:lastPrinted>2000-02-23T12:12:00Z</cp:lastPrinted>
  <dcterms:modified xsi:type="dcterms:W3CDTF">2000-02-23T17:22:00Z</dcterms:modified>
  <cp:revision>2</cp:revision>
  <dc:subject/>
  <dc:title>Description of State Electricity Competitive Situation</dc:title>
</cp:coreProperties>
</file>