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ind w:hanging="0" w:end="0"/>
        <w:jc w:val="center"/>
        <w:rPr>
          <w:sz w:val="22"/>
          <w:szCs w:val="22"/>
        </w:rPr>
      </w:pPr>
      <w:r>
        <w:rPr>
          <w:sz w:val="22"/>
          <w:szCs w:val="22"/>
        </w:rPr>
        <w:t>FORBEARANCE AGREEMENT</w:t>
      </w:r>
    </w:p>
    <w:p>
      <w:pPr>
        <w:pStyle w:val="BodyText"/>
        <w:widowControl/>
        <w:ind w:hanging="0" w:end="0"/>
        <w:jc w:val="center"/>
        <w:rPr/>
      </w:pPr>
      <w:r>
        <w:rPr>
          <w:strike/>
          <w:sz w:val="22"/>
          <w:szCs w:val="22"/>
        </w:rPr>
        <w:t>(Monday, 1/22/01, 6:30</w:t>
      </w:r>
      <w:r>
        <w:rPr>
          <w:b/>
          <w:bCs/>
          <w:sz w:val="22"/>
          <w:szCs w:val="22"/>
          <w:u w:val="single"/>
        </w:rPr>
        <w:t>(Wednesday, 1/24/01, 5:00</w:t>
      </w:r>
      <w:r>
        <w:rPr>
          <w:sz w:val="22"/>
          <w:szCs w:val="22"/>
        </w:rPr>
        <w:t xml:space="preserve"> p.m. Draft)</w:t>
      </w:r>
    </w:p>
    <w:p>
      <w:pPr>
        <w:pStyle w:val="BodyText"/>
        <w:widowControl/>
        <w:rPr>
          <w:sz w:val="22"/>
          <w:szCs w:val="22"/>
        </w:rPr>
      </w:pPr>
      <w:r>
        <w:rPr>
          <w:sz w:val="22"/>
          <w:szCs w:val="22"/>
        </w:rPr>
        <w:t>This Forbearance Agreement (this “Agreement”), is entered into as of January 29, 2001 (the “Effective Date”), between and among Pacific Gas and Electric Company (“PG&amp;E”) and the Qualifying Facility Owners (individually, and not jointly) who are signatories hereto (individually, a “QF” and collectively, the “QFs”).</w:t>
      </w:r>
    </w:p>
    <w:p>
      <w:pPr>
        <w:pStyle w:val="BodyText"/>
        <w:widowControl/>
        <w:ind w:hanging="0" w:end="0"/>
        <w:jc w:val="center"/>
        <w:rPr>
          <w:sz w:val="22"/>
          <w:szCs w:val="22"/>
        </w:rPr>
      </w:pPr>
      <w:r>
        <w:rPr>
          <w:sz w:val="22"/>
          <w:szCs w:val="22"/>
        </w:rPr>
        <w:t>RECITALS</w:t>
      </w:r>
    </w:p>
    <w:p>
      <w:pPr>
        <w:pStyle w:val="BodyText"/>
        <w:widowControl/>
        <w:ind w:firstLine="720" w:end="0"/>
        <w:rPr/>
      </w:pPr>
      <w:r>
        <w:rPr>
          <w:sz w:val="22"/>
          <w:szCs w:val="22"/>
        </w:rPr>
        <w:t xml:space="preserve">WHEREAS, the QFs supply electricity (energy and capacity) to PG&amp;E pursuant to the power purchase agreements described in </w:t>
      </w:r>
      <w:r>
        <w:rPr>
          <w:sz w:val="22"/>
          <w:szCs w:val="22"/>
          <w:u w:val="single"/>
        </w:rPr>
        <w:t>Exhibit A</w:t>
      </w:r>
      <w:r>
        <w:rPr>
          <w:sz w:val="22"/>
          <w:szCs w:val="22"/>
        </w:rPr>
        <w:t xml:space="preserve"> hereto (each, a “PPA,” and collectively, the “PPAs”);</w:t>
      </w:r>
    </w:p>
    <w:p>
      <w:pPr>
        <w:pStyle w:val="BodyText"/>
        <w:widowControl/>
        <w:ind w:firstLine="720" w:end="0"/>
        <w:rPr/>
      </w:pPr>
      <w:r>
        <w:rPr>
          <w:sz w:val="22"/>
          <w:szCs w:val="22"/>
        </w:rPr>
        <w:t xml:space="preserve">WHEREAS, PG&amp;E is obligated to each of the QFs as of the date hereof for electricity (energy and capacity) delivered to PG&amp;E in December, 2000 and January 2001 under the PPAs, and anticipates incurring additional obligations under the PPAs for electricity (energy and capacity) from the Effective Date through the end of January, 2001 under the PPAs (for each applicable QF, the “Forbearance Amount” and for all of the QFs, the “Forbearance Amounts”), with respect to each QF, the Forbearance Amount that is ascertainable as of the Effective Date is as set forth in </w:t>
      </w:r>
      <w:r>
        <w:rPr>
          <w:sz w:val="22"/>
          <w:szCs w:val="22"/>
          <w:u w:val="single"/>
        </w:rPr>
        <w:t>Exhibit B</w:t>
      </w:r>
      <w:r>
        <w:rPr>
          <w:sz w:val="22"/>
          <w:szCs w:val="22"/>
        </w:rPr>
        <w:t xml:space="preserve"> hereto;</w:t>
      </w:r>
    </w:p>
    <w:p>
      <w:pPr>
        <w:pStyle w:val="BodyText"/>
        <w:widowControl/>
        <w:ind w:firstLine="720" w:end="0"/>
        <w:rPr>
          <w:sz w:val="22"/>
          <w:szCs w:val="22"/>
        </w:rPr>
      </w:pPr>
      <w:r>
        <w:rPr>
          <w:sz w:val="22"/>
          <w:szCs w:val="22"/>
        </w:rPr>
        <w:t xml:space="preserve">WHEREAS, the Forbearance Amounts include payments which are due and payable to the QFs on February 1, 2001 and March 1, 2001 (the “Due Dates”); </w:t>
      </w:r>
    </w:p>
    <w:p>
      <w:pPr>
        <w:pStyle w:val="BodyText"/>
        <w:widowControl/>
        <w:ind w:firstLine="720" w:end="0"/>
        <w:rPr>
          <w:sz w:val="22"/>
          <w:szCs w:val="22"/>
        </w:rPr>
      </w:pPr>
      <w:r>
        <w:rPr>
          <w:strike/>
          <w:sz w:val="22"/>
          <w:szCs w:val="22"/>
        </w:rPr>
        <w:t>and</w:t>
      </w:r>
      <w:r>
        <w:rPr>
          <w:sz w:val="22"/>
          <w:szCs w:val="22"/>
        </w:rPr>
        <w:t xml:space="preserve"> </w:t>
      </w:r>
      <w:r>
        <w:rPr>
          <w:b/>
          <w:bCs/>
          <w:sz w:val="22"/>
          <w:szCs w:val="22"/>
          <w:u w:val="single"/>
        </w:rPr>
        <w:t xml:space="preserve">WHEREAS, [on January ___, 2001, the California legislature enacted </w:t>
      </w:r>
      <w:r>
        <w:rPr>
          <w:b/>
          <w:bCs/>
          <w:i/>
          <w:iCs/>
          <w:sz w:val="22"/>
          <w:szCs w:val="22"/>
          <w:u w:val="single"/>
        </w:rPr>
        <w:t xml:space="preserve">[Describe Proposed Legislation that is the “Pathway to Creditworthiness”)] </w:t>
      </w:r>
      <w:r>
        <w:rPr>
          <w:b/>
          <w:bCs/>
          <w:sz w:val="22"/>
          <w:szCs w:val="22"/>
          <w:u w:val="single"/>
        </w:rPr>
        <w:t>(the “Legislation”)]; or [the California legislature has pending before it proposed legislation in the form of Exhibit C</w:t>
      </w:r>
      <w:r>
        <w:rPr>
          <w:sz w:val="22"/>
          <w:szCs w:val="22"/>
        </w:rPr>
        <w:t xml:space="preserve"> </w:t>
      </w:r>
      <w:r>
        <w:rPr>
          <w:b/>
          <w:bCs/>
          <w:sz w:val="22"/>
          <w:szCs w:val="22"/>
          <w:u w:val="single"/>
        </w:rPr>
        <w:t>hereto (the “Legislation”)]; and</w:t>
      </w:r>
    </w:p>
    <w:p>
      <w:pPr>
        <w:pStyle w:val="BodyText"/>
        <w:widowControl/>
        <w:ind w:firstLine="720" w:end="0"/>
        <w:rPr/>
      </w:pPr>
      <w:r>
        <w:rPr>
          <w:strike/>
          <w:sz w:val="22"/>
          <w:szCs w:val="22"/>
        </w:rPr>
        <w:t xml:space="preserve">WHEREAS, </w:t>
      </w:r>
      <w:r>
        <w:rPr>
          <w:b/>
          <w:bCs/>
          <w:sz w:val="22"/>
          <w:szCs w:val="22"/>
          <w:u w:val="single"/>
        </w:rPr>
        <w:t>WHEREAS, in consideration of its support of the passage of the Legislation,</w:t>
      </w:r>
      <w:r>
        <w:rPr>
          <w:sz w:val="22"/>
          <w:szCs w:val="22"/>
        </w:rPr>
        <w:t xml:space="preserve"> PG&amp;E has requested that the QFs forbear from enforcing their claims to payment of the Forbearance Amounts until April 1, 2001, and the QFs are willing to forbear from enforcing their claims to payment of the Forbearance Amounts on the terms and conditions set forth herein.</w:t>
      </w:r>
    </w:p>
    <w:p>
      <w:pPr>
        <w:pStyle w:val="BodyText"/>
        <w:widowControl/>
        <w:ind w:hanging="0" w:end="0"/>
        <w:jc w:val="center"/>
        <w:rPr>
          <w:sz w:val="22"/>
          <w:szCs w:val="22"/>
        </w:rPr>
      </w:pPr>
      <w:r>
        <w:rPr>
          <w:sz w:val="22"/>
          <w:szCs w:val="22"/>
        </w:rPr>
        <w:t>AGREEMENT</w:t>
      </w:r>
    </w:p>
    <w:p>
      <w:pPr>
        <w:pStyle w:val="BodyText"/>
        <w:widowControl/>
        <w:ind w:firstLine="720" w:end="0"/>
        <w:rPr>
          <w:sz w:val="22"/>
          <w:szCs w:val="22"/>
        </w:rPr>
      </w:pPr>
      <w:r>
        <w:rPr>
          <w:sz w:val="22"/>
          <w:szCs w:val="22"/>
        </w:rPr>
        <w:t>NOW, THEREFORE, in consideration of the foregoing and for other good and valuable consideration, the receipt and sufficiency of which are hereby acknowledged, the parties hereto agree as follows:</w:t>
      </w:r>
    </w:p>
    <w:p>
      <w:pPr>
        <w:pStyle w:val="Legal2TabL1"/>
        <w:widowControl/>
        <w:tabs>
          <w:tab w:val="left" w:pos="1440" w:leader="none"/>
          <w:tab w:val="left" w:pos="1800" w:leader="none"/>
        </w:tabs>
        <w:rPr/>
      </w:pPr>
      <w:r>
        <w:rPr>
          <w:rFonts w:eastAsia="Times New Roman Bold" w:cs="Times New Roman Bold" w:ascii="Times New Roman Bold" w:hAnsi="Times New Roman Bold"/>
          <w:b/>
          <w:bCs/>
        </w:rPr>
        <w:t xml:space="preserve">Section </w:t>
      </w:r>
      <w:r>
        <w:rPr>
          <w:b/>
          <w:bCs/>
        </w:rPr>
        <w:t>1.</w:t>
      </w:r>
      <w:r>
        <w:rPr>
          <w:rFonts w:eastAsia="Times New Roman Bold" w:cs="Times New Roman Bold" w:ascii="Times New Roman Bold" w:hAnsi="Times New Roman Bold"/>
          <w:b/>
          <w:bCs/>
        </w:rPr>
        <w:tab/>
      </w:r>
      <w:r>
        <w:rPr>
          <w:sz w:val="22"/>
          <w:szCs w:val="22"/>
        </w:rPr>
        <w:tab/>
      </w:r>
      <w:r>
        <w:rPr>
          <w:strike/>
          <w:sz w:val="22"/>
          <w:szCs w:val="22"/>
          <w:u w:val="single"/>
        </w:rPr>
        <w:t>1.</w:t>
      </w:r>
      <w:r>
        <w:rPr>
          <w:sz w:val="22"/>
          <w:szCs w:val="22"/>
          <w:u w:val="single"/>
        </w:rPr>
        <w:t xml:space="preserve"> Definitions</w:t>
      </w:r>
      <w:r>
        <w:rPr>
          <w:sz w:val="22"/>
          <w:szCs w:val="22"/>
        </w:rPr>
        <w:t>.  Capitalized terms used herein and not otherwise defined herein shall have the meanings set forth below:</w:t>
      </w:r>
    </w:p>
    <w:p>
      <w:pPr>
        <w:pStyle w:val="BodyText"/>
        <w:ind w:firstLine="720" w:end="0"/>
        <w:rPr/>
      </w:pPr>
      <w:r>
        <w:rPr>
          <w:strike/>
          <w:sz w:val="22"/>
          <w:szCs w:val="22"/>
        </w:rPr>
        <w:t>“</w:t>
      </w:r>
      <w:r>
        <w:rPr>
          <w:strike/>
          <w:sz w:val="22"/>
          <w:szCs w:val="22"/>
        </w:rPr>
        <w:t>Assured</w:t>
      </w:r>
      <w:r>
        <w:rPr>
          <w:b/>
          <w:bCs/>
          <w:sz w:val="22"/>
          <w:szCs w:val="22"/>
          <w:u w:val="single"/>
        </w:rPr>
        <w:t>“Aggregate Forbearance Period</w:t>
      </w:r>
      <w:r>
        <w:rPr>
          <w:sz w:val="22"/>
          <w:szCs w:val="22"/>
          <w:u w:val="single"/>
        </w:rPr>
        <w:t xml:space="preserve"> Amounts</w:t>
      </w:r>
      <w:r>
        <w:rPr>
          <w:sz w:val="22"/>
          <w:szCs w:val="22"/>
        </w:rPr>
        <w:t>” shall mean the sum of (a) the Forbearance Amounts</w:t>
      </w:r>
      <w:r>
        <w:rPr>
          <w:strike/>
          <w:sz w:val="22"/>
          <w:szCs w:val="22"/>
        </w:rPr>
        <w:t>,</w:t>
      </w:r>
      <w:r>
        <w:rPr>
          <w:b/>
          <w:bCs/>
          <w:sz w:val="22"/>
          <w:szCs w:val="22"/>
          <w:u w:val="single"/>
        </w:rPr>
        <w:t>;</w:t>
      </w:r>
      <w:r>
        <w:rPr>
          <w:sz w:val="22"/>
          <w:szCs w:val="22"/>
        </w:rPr>
        <w:t xml:space="preserve"> plus (b) interest on the Forbearance Amounts, as set forth in Section 3 hereof; plus </w:t>
      </w:r>
      <w:r>
        <w:rPr>
          <w:strike/>
          <w:sz w:val="22"/>
          <w:szCs w:val="22"/>
        </w:rPr>
        <w:t>(c) all</w:t>
      </w:r>
      <w:r>
        <w:rPr>
          <w:b/>
          <w:bCs/>
          <w:sz w:val="22"/>
          <w:szCs w:val="22"/>
          <w:u w:val="single"/>
        </w:rPr>
        <w:t>(c) all</w:t>
      </w:r>
      <w:r>
        <w:rPr>
          <w:sz w:val="22"/>
          <w:szCs w:val="22"/>
        </w:rPr>
        <w:t xml:space="preserve"> additional amounts owed or incurred by PG&amp;E to the QFs under the PPAs for electricity (energy and capacity) delivered to PG&amp;E before or during the Forbearance Period.  As to each QF, the </w:t>
      </w:r>
      <w:r>
        <w:rPr>
          <w:strike/>
          <w:sz w:val="22"/>
          <w:szCs w:val="22"/>
        </w:rPr>
        <w:t>“Assured</w:t>
      </w:r>
      <w:r>
        <w:rPr>
          <w:b/>
          <w:bCs/>
          <w:sz w:val="22"/>
          <w:szCs w:val="22"/>
          <w:u w:val="single"/>
        </w:rPr>
        <w:t>“Aggregate Forbearance Period</w:t>
      </w:r>
      <w:r>
        <w:rPr>
          <w:sz w:val="22"/>
          <w:szCs w:val="22"/>
          <w:u w:val="single"/>
        </w:rPr>
        <w:t xml:space="preserve"> Amount</w:t>
      </w:r>
      <w:r>
        <w:rPr>
          <w:sz w:val="22"/>
          <w:szCs w:val="22"/>
        </w:rPr>
        <w:t>” of such QF is the sum of the amounts described herein with respect to the PPA of such QF.</w:t>
      </w:r>
    </w:p>
    <w:p>
      <w:pPr>
        <w:pStyle w:val="BodyText"/>
        <w:ind w:firstLine="810" w:end="0"/>
        <w:rPr/>
      </w:pPr>
      <w:r>
        <w:rPr>
          <w:sz w:val="22"/>
          <w:szCs w:val="22"/>
        </w:rPr>
        <w:t>“</w:t>
      </w:r>
      <w:r>
        <w:rPr>
          <w:sz w:val="22"/>
          <w:szCs w:val="22"/>
          <w:u w:val="single"/>
        </w:rPr>
        <w:t>Bankruptcy</w:t>
      </w:r>
      <w:r>
        <w:rPr>
          <w:sz w:val="22"/>
          <w:szCs w:val="22"/>
        </w:rPr>
        <w:t>” shall mean the occurrence of any of the following events, conditions or circumstances with respect to PG&amp;E: (a) PG&amp;E shall file a voluntary petition in bankruptcy or shall be adjudicated a bankrupt or insolvent, or shall file any petition or answer or consent seeking any reorganization, arrangement, composition, readjustment, liquidation, dissolution or similar relief for itself under the Bankruptcy Code, or shall seek or consent to or acquiesce in the appointment of any trustee, receiver, conservator or liquidator of PG&amp;E or of all or any substantial part of its properties; (b) an involuntary case or other proceeding shall be commenced against PG&amp;E seeking any reorganization, arrangement, composition, readjustment, liquidation, dissolution or similar relief with respect to PG&amp;E or its debts under the Bankruptcy Code, or seeking the appointment of a trustee, receiver, liquidator, custodian or other similar official of it or any substantial part of its property; (c) a court of competent jurisdiction shall enter an order, judgment or decree approving a petition filed against PG&amp;E seeking a reorganization, arrangement, composition, readjustment, liquidation, dissolution or similar relief under the Bankruptcy Code; (d) PG&amp;E shall make an assignment for the benefit of creditors; or (e) PG&amp;E shall take any corporate action for the purpose of effecting any of the foregoing.</w:t>
      </w:r>
    </w:p>
    <w:p>
      <w:pPr>
        <w:pStyle w:val="BodyText"/>
        <w:ind w:firstLine="720" w:end="0"/>
        <w:rPr/>
      </w:pPr>
      <w:r>
        <w:rPr>
          <w:sz w:val="22"/>
          <w:szCs w:val="22"/>
        </w:rPr>
        <w:t>“</w:t>
      </w:r>
      <w:r>
        <w:rPr>
          <w:sz w:val="22"/>
          <w:szCs w:val="22"/>
          <w:u w:val="single"/>
        </w:rPr>
        <w:t>Bankruptcy Code</w:t>
      </w:r>
      <w:r>
        <w:rPr>
          <w:sz w:val="22"/>
          <w:szCs w:val="22"/>
        </w:rPr>
        <w:t>” shall mean Title 11 of the United States Code.</w:t>
      </w:r>
    </w:p>
    <w:p>
      <w:pPr>
        <w:pStyle w:val="Legal2TabL1"/>
        <w:widowControl/>
        <w:tabs>
          <w:tab w:val="left" w:pos="1440" w:leader="none"/>
          <w:tab w:val="left" w:pos="1800" w:leader="none"/>
        </w:tabs>
        <w:rPr>
          <w:rFonts w:ascii="Times New Roman Bold" w:hAnsi="Times New Roman Bold" w:eastAsia="Times New Roman Bold" w:cs="Times New Roman Bold"/>
          <w:b/>
          <w:bCs/>
          <w:strike/>
        </w:rPr>
      </w:pPr>
      <w:r>
        <w:rPr>
          <w:rFonts w:eastAsia="Times New Roman Bold" w:cs="Times New Roman Bold" w:ascii="Times New Roman Bold" w:hAnsi="Times New Roman Bold"/>
          <w:b/>
          <w:bCs/>
          <w:strike/>
        </w:rPr>
        <w:t>“</w:t>
      </w:r>
      <w:r>
        <w:rPr>
          <w:rFonts w:eastAsia="Times New Roman Bold" w:cs="Times New Roman Bold" w:ascii="Times New Roman Bold" w:hAnsi="Times New Roman Bold"/>
          <w:b/>
          <w:bCs/>
          <w:strike/>
        </w:rPr>
        <w:t>Payment Assurance” shall mean (a) an agreement of the State of California or of any other investment-grade entity (rated BBB- or better rating by Standard &amp; Poors or an equivalent rating by Moody’s), which may be an agency of the State of California, an investor-owned utility, or any other entity that meets the criteria of investment grade, in form and substance satisfactory to a QF in its sole discretion, providing assurance to the QF of payment when due of the QF’s Assured Amounts, or (b) legislation, an order of the CPUC or other governmental action, in form and substance satisfactory to the QF in its sole discretion, causing an investment-grade entity to provide assurance to the QF of payment when due of the QF’s Assured Amount.</w:t>
      </w:r>
    </w:p>
    <w:p>
      <w:pPr>
        <w:pStyle w:val="Legal2TabL1"/>
        <w:widowControl/>
        <w:tabs>
          <w:tab w:val="left" w:pos="1440" w:leader="none"/>
          <w:tab w:val="left" w:pos="1800" w:leader="none"/>
        </w:tabs>
        <w:rPr/>
      </w:pPr>
      <w:r>
        <w:rPr>
          <w:rFonts w:eastAsia="Times New Roman Bold" w:cs="Times New Roman Bold" w:ascii="Times New Roman Bold" w:hAnsi="Times New Roman Bold"/>
          <w:b/>
          <w:bCs/>
          <w:u w:val="single"/>
        </w:rPr>
        <w:t>Section</w:t>
      </w:r>
      <w:r>
        <w:rPr>
          <w:rFonts w:eastAsia="Times New Roman Bold" w:cs="Times New Roman Bold" w:ascii="Times New Roman Bold" w:hAnsi="Times New Roman Bold"/>
          <w:b/>
          <w:bCs/>
        </w:rPr>
        <w:t xml:space="preserve"> </w:t>
      </w:r>
      <w:r>
        <w:rPr>
          <w:b/>
          <w:bCs/>
        </w:rPr>
        <w:t>2.</w:t>
      </w:r>
      <w:r>
        <w:rPr>
          <w:rFonts w:eastAsia="Times New Roman Bold" w:cs="Times New Roman Bold" w:ascii="Times New Roman Bold" w:hAnsi="Times New Roman Bold"/>
          <w:b/>
          <w:bCs/>
        </w:rPr>
        <w:tab/>
      </w:r>
      <w:r>
        <w:rPr>
          <w:sz w:val="22"/>
          <w:szCs w:val="22"/>
        </w:rPr>
        <w:tab/>
      </w:r>
      <w:r>
        <w:rPr>
          <w:sz w:val="22"/>
          <w:szCs w:val="22"/>
          <w:u w:val="single"/>
        </w:rPr>
        <w:t>Forbearance Period; Force Majeure and Impracticability</w:t>
      </w:r>
      <w:r>
        <w:rPr>
          <w:sz w:val="22"/>
          <w:szCs w:val="22"/>
        </w:rPr>
        <w:t xml:space="preserve">.  Subject to the provisions of </w:t>
      </w:r>
      <w:r>
        <w:rPr>
          <w:strike/>
          <w:sz w:val="22"/>
          <w:szCs w:val="22"/>
        </w:rPr>
        <w:t>Sections 5 and 6</w:t>
      </w:r>
      <w:r>
        <w:rPr>
          <w:sz w:val="22"/>
          <w:szCs w:val="22"/>
        </w:rPr>
        <w:t xml:space="preserve"> </w:t>
      </w:r>
      <w:r>
        <w:rPr>
          <w:b/>
          <w:bCs/>
          <w:sz w:val="22"/>
          <w:szCs w:val="22"/>
          <w:u w:val="single"/>
        </w:rPr>
        <w:t>Section 5</w:t>
      </w:r>
      <w:r>
        <w:rPr>
          <w:sz w:val="22"/>
          <w:szCs w:val="22"/>
        </w:rPr>
        <w:t xml:space="preserve"> below, each QF agrees that it will not take any action to enforce its rights or remedies in respect of payment of the Forbearance Amounts from the date of execution of this Agreement through March 31, 2001, or such earlier date that such obligation to forbear is terminated pursuant to Section </w:t>
      </w:r>
      <w:r>
        <w:rPr>
          <w:strike/>
          <w:sz w:val="22"/>
          <w:szCs w:val="22"/>
        </w:rPr>
        <w:t>6</w:t>
      </w:r>
      <w:r>
        <w:rPr>
          <w:sz w:val="22"/>
          <w:szCs w:val="22"/>
        </w:rPr>
        <w:t xml:space="preserve"> </w:t>
      </w:r>
      <w:r>
        <w:rPr>
          <w:b/>
          <w:bCs/>
          <w:sz w:val="22"/>
          <w:szCs w:val="22"/>
          <w:u w:val="single"/>
        </w:rPr>
        <w:t>5</w:t>
      </w:r>
      <w:r>
        <w:rPr>
          <w:sz w:val="22"/>
          <w:szCs w:val="22"/>
        </w:rPr>
        <w:t xml:space="preserve"> hereof (the “Forbearance Period”).  Effective on the Effective Date, PG&amp;E hereby waives its right to assert an event of Force Majeure, commercial impracticability, impossibility or any similar defense or excuse to its payment of the </w:t>
      </w:r>
      <w:r>
        <w:rPr>
          <w:strike/>
          <w:sz w:val="22"/>
          <w:szCs w:val="22"/>
        </w:rPr>
        <w:t>Assured</w:t>
      </w:r>
      <w:r>
        <w:rPr>
          <w:sz w:val="22"/>
          <w:szCs w:val="22"/>
        </w:rPr>
        <w:t xml:space="preserve"> </w:t>
      </w:r>
      <w:r>
        <w:rPr>
          <w:b/>
          <w:bCs/>
          <w:sz w:val="22"/>
          <w:szCs w:val="22"/>
          <w:u w:val="single"/>
        </w:rPr>
        <w:t>Aggregate Forbearance Period</w:t>
      </w:r>
      <w:r>
        <w:rPr>
          <w:sz w:val="22"/>
          <w:szCs w:val="22"/>
        </w:rPr>
        <w:t xml:space="preserve"> Amounts.  Nothing in this Section 2 shall be deemed an admission by any QF that PG&amp;E is entitled to assert Force Majeure, commercial impracticability, impossibility or any similar defense under the PPAs.  Nothing in this Section 2 shall affect PG&amp;E’s right, if any, to assert an event of Force Majeure, commercial impracticability, impossibility or any similar defense to obligations arising under the PPAs </w:t>
      </w:r>
      <w:r>
        <w:rPr>
          <w:strike/>
          <w:sz w:val="22"/>
          <w:szCs w:val="22"/>
        </w:rPr>
        <w:t>after the expiration of the Forbearance Period</w:t>
      </w:r>
      <w:r>
        <w:rPr>
          <w:sz w:val="22"/>
          <w:szCs w:val="22"/>
        </w:rPr>
        <w:t>, whether based on the notice given by PG&amp;E to the QFs on January 18, 2001 or otherwise</w:t>
      </w:r>
      <w:r>
        <w:rPr>
          <w:b/>
          <w:bCs/>
          <w:sz w:val="22"/>
          <w:szCs w:val="22"/>
          <w:u w:val="single"/>
        </w:rPr>
        <w:t>, after (a) the expiration of the Forbearance Period ; and (b) payment to the QFs of the Aggregate Forbearance Period Amounts.</w:t>
      </w:r>
    </w:p>
    <w:p>
      <w:pPr>
        <w:pStyle w:val="Legal2TabL1"/>
        <w:widowControl/>
        <w:tabs>
          <w:tab w:val="left" w:pos="1440" w:leader="none"/>
          <w:tab w:val="left" w:pos="1800" w:leader="none"/>
        </w:tabs>
        <w:rPr/>
      </w:pPr>
      <w:r>
        <w:rPr>
          <w:rFonts w:eastAsia="Times New Roman Bold" w:cs="Times New Roman Bold" w:ascii="Times New Roman Bold" w:hAnsi="Times New Roman Bold"/>
          <w:b/>
          <w:bCs/>
          <w:u w:val="single"/>
        </w:rPr>
        <w:t>Section</w:t>
      </w:r>
      <w:r>
        <w:rPr>
          <w:rFonts w:eastAsia="Times New Roman Bold" w:cs="Times New Roman Bold" w:ascii="Times New Roman Bold" w:hAnsi="Times New Roman Bold"/>
          <w:b/>
          <w:bCs/>
        </w:rPr>
        <w:t xml:space="preserve"> </w:t>
      </w:r>
      <w:r>
        <w:rPr>
          <w:b/>
          <w:bCs/>
        </w:rPr>
        <w:t>3.</w:t>
      </w:r>
      <w:r>
        <w:rPr>
          <w:rFonts w:eastAsia="Times New Roman Bold" w:cs="Times New Roman Bold" w:ascii="Times New Roman Bold" w:hAnsi="Times New Roman Bold"/>
          <w:b/>
          <w:bCs/>
        </w:rPr>
        <w:tab/>
      </w:r>
      <w:r>
        <w:rPr>
          <w:sz w:val="22"/>
          <w:szCs w:val="22"/>
        </w:rPr>
        <w:tab/>
      </w:r>
      <w:r>
        <w:rPr>
          <w:sz w:val="22"/>
          <w:szCs w:val="22"/>
          <w:u w:val="single"/>
        </w:rPr>
        <w:t>Payment of Forbearance Amount; Interest</w:t>
      </w:r>
      <w:r>
        <w:rPr>
          <w:sz w:val="22"/>
          <w:szCs w:val="22"/>
        </w:rPr>
        <w:t xml:space="preserve">.  On the expiration of the Forbearance Period, PG&amp;E shall pay to each QF the Forbearance Amount owed to such QF as of such date, plus interest thereon at the </w:t>
      </w:r>
      <w:r>
        <w:rPr>
          <w:b/>
          <w:bCs/>
          <w:sz w:val="22"/>
          <w:szCs w:val="22"/>
          <w:u w:val="single"/>
        </w:rPr>
        <w:t>effective</w:t>
      </w:r>
      <w:r>
        <w:rPr>
          <w:sz w:val="22"/>
          <w:szCs w:val="22"/>
        </w:rPr>
        <w:t xml:space="preserve"> 90-day Commercial Paper Rate (as published in the Wall Street Journal </w:t>
      </w:r>
      <w:r>
        <w:rPr>
          <w:strike/>
          <w:sz w:val="22"/>
          <w:szCs w:val="22"/>
        </w:rPr>
        <w:t>) in effect on February 1</w:t>
      </w:r>
      <w:r>
        <w:rPr>
          <w:sz w:val="22"/>
          <w:szCs w:val="22"/>
        </w:rPr>
        <w:t xml:space="preserve"> </w:t>
      </w:r>
      <w:r>
        <w:rPr>
          <w:b/>
          <w:bCs/>
          <w:sz w:val="22"/>
          <w:szCs w:val="22"/>
          <w:u w:val="single"/>
        </w:rPr>
        <w:t>under “Key Interest Rates, Commrcl Paper (Finl. 90 day)”) for the week ending February 2</w:t>
      </w:r>
      <w:r>
        <w:rPr>
          <w:sz w:val="22"/>
          <w:szCs w:val="22"/>
        </w:rPr>
        <w:t>, 2001, compounded monthly, from the date such amount was due under the applicable PPAs.  In addition, on the expiration of the Forbearance Period</w:t>
      </w:r>
      <w:r>
        <w:rPr>
          <w:strike/>
          <w:sz w:val="22"/>
          <w:szCs w:val="22"/>
        </w:rPr>
        <w:t>,</w:t>
      </w:r>
      <w:r>
        <w:rPr>
          <w:sz w:val="22"/>
          <w:szCs w:val="22"/>
        </w:rPr>
        <w:t xml:space="preserve"> PG&amp;E shall pay to each QF all other amounts due to such QFs on such date under the PPAs, including any payment due for electricity (energy and capacity) delivered during the Forbearance Period.  Any amounts not paid when due hereunder shall bear interest at an annual rate of 10%, compounded monthly.</w:t>
      </w:r>
    </w:p>
    <w:p>
      <w:pPr>
        <w:pStyle w:val="Legal2TabL1"/>
        <w:widowControl/>
        <w:tabs>
          <w:tab w:val="left" w:pos="1440" w:leader="none"/>
          <w:tab w:val="left" w:pos="1800" w:leader="none"/>
        </w:tabs>
        <w:rPr/>
      </w:pPr>
      <w:r>
        <w:rPr>
          <w:rFonts w:eastAsia="Times New Roman Bold" w:cs="Times New Roman Bold" w:ascii="Times New Roman Bold" w:hAnsi="Times New Roman Bold"/>
          <w:b/>
          <w:bCs/>
          <w:u w:val="single"/>
        </w:rPr>
        <w:t>Section</w:t>
      </w:r>
      <w:r>
        <w:rPr>
          <w:rFonts w:eastAsia="Times New Roman Bold" w:cs="Times New Roman Bold" w:ascii="Times New Roman Bold" w:hAnsi="Times New Roman Bold"/>
          <w:b/>
          <w:bCs/>
        </w:rPr>
        <w:t xml:space="preserve"> </w:t>
      </w:r>
      <w:r>
        <w:rPr>
          <w:b/>
          <w:bCs/>
        </w:rPr>
        <w:t>4.</w:t>
      </w:r>
      <w:r>
        <w:rPr>
          <w:rFonts w:eastAsia="Times New Roman Bold" w:cs="Times New Roman Bold" w:ascii="Times New Roman Bold" w:hAnsi="Times New Roman Bold"/>
          <w:b/>
          <w:bCs/>
        </w:rPr>
        <w:tab/>
      </w:r>
      <w:r>
        <w:rPr>
          <w:sz w:val="22"/>
          <w:szCs w:val="22"/>
        </w:rPr>
        <w:tab/>
      </w:r>
      <w:r>
        <w:rPr>
          <w:sz w:val="22"/>
          <w:szCs w:val="22"/>
          <w:u w:val="single"/>
        </w:rPr>
        <w:t>Payment of “True-up Obligations</w:t>
      </w:r>
      <w:r>
        <w:rPr>
          <w:sz w:val="22"/>
          <w:szCs w:val="22"/>
        </w:rPr>
        <w:t xml:space="preserve">.  “True-up” obligations of QFs, if any, ordered by the California Public Utilities Commission (“CPUC”) pursuant to a decision following Decision 99-11-025 shall not be due and payable during the Forbearance Period.  At the option of any QF, any such “True-up” obligation owed by such QF to PG&amp;E may be offset against any amounts owing by PG&amp;E to such QF, including amounts payable </w:t>
      </w:r>
      <w:r>
        <w:rPr>
          <w:strike/>
          <w:sz w:val="22"/>
          <w:szCs w:val="22"/>
        </w:rPr>
        <w:t>at</w:t>
      </w:r>
      <w:r>
        <w:rPr>
          <w:sz w:val="22"/>
          <w:szCs w:val="22"/>
        </w:rPr>
        <w:t xml:space="preserve"> </w:t>
      </w:r>
      <w:r>
        <w:rPr>
          <w:b/>
          <w:bCs/>
          <w:sz w:val="22"/>
          <w:szCs w:val="22"/>
          <w:u w:val="single"/>
        </w:rPr>
        <w:t>on</w:t>
      </w:r>
      <w:r>
        <w:rPr>
          <w:sz w:val="22"/>
          <w:szCs w:val="22"/>
        </w:rPr>
        <w:t xml:space="preserve"> the expiration of the Forbearance Period under Section 3 above.  The inclusion of this Section 4 is not an admission by any QF that any such “True-up” obligation is owed or will at any time be owing to PG&amp;E.</w:t>
      </w:r>
    </w:p>
    <w:p>
      <w:pPr>
        <w:pStyle w:val="Legal2TabL1"/>
        <w:widowControl/>
        <w:tabs>
          <w:tab w:val="left" w:pos="1440" w:leader="none"/>
          <w:tab w:val="left" w:pos="1800" w:leader="none"/>
        </w:tabs>
        <w:rPr>
          <w:sz w:val="22"/>
          <w:szCs w:val="22"/>
        </w:rPr>
      </w:pPr>
      <w:r>
        <w:rPr>
          <w:rFonts w:eastAsia="Times New Roman Bold" w:cs="Times New Roman Bold" w:ascii="Times New Roman Bold" w:hAnsi="Times New Roman Bold"/>
          <w:b/>
          <w:bCs/>
          <w:strike/>
        </w:rPr>
        <w:t>5. Conditions Precedent. The obligations</w:t>
      </w:r>
      <w:r>
        <w:rPr>
          <w:rFonts w:eastAsia="Times New Roman Bold" w:cs="Times New Roman Bold" w:ascii="Times New Roman Bold" w:hAnsi="Times New Roman Bold"/>
          <w:b/>
          <w:bCs/>
        </w:rPr>
        <w:t xml:space="preserve"> </w:t>
      </w:r>
      <w:r>
        <w:rPr>
          <w:rFonts w:eastAsia="Times New Roman Bold" w:cs="Times New Roman Bold" w:ascii="Times New Roman Bold" w:hAnsi="Times New Roman Bold"/>
          <w:b/>
          <w:bCs/>
          <w:u w:val="single"/>
        </w:rPr>
        <w:t xml:space="preserve">Section </w:t>
      </w:r>
      <w:r>
        <w:rPr>
          <w:b/>
          <w:bCs/>
          <w:u w:val="single"/>
        </w:rPr>
        <w:t>5.</w:t>
      </w:r>
      <w:r>
        <w:rPr>
          <w:rFonts w:eastAsia="Times New Roman Bold" w:cs="Times New Roman Bold" w:ascii="Times New Roman Bold" w:hAnsi="Times New Roman Bold"/>
          <w:b/>
          <w:bCs/>
        </w:rPr>
        <w:tab/>
      </w:r>
      <w:r>
        <w:rPr>
          <w:sz w:val="22"/>
          <w:szCs w:val="22"/>
        </w:rPr>
        <w:tab/>
      </w:r>
      <w:r>
        <w:rPr>
          <w:b/>
          <w:bCs/>
          <w:sz w:val="22"/>
          <w:szCs w:val="22"/>
          <w:u w:val="single"/>
        </w:rPr>
        <w:t>Termination.  The obligation</w:t>
      </w:r>
      <w:r>
        <w:rPr>
          <w:sz w:val="22"/>
          <w:szCs w:val="22"/>
        </w:rPr>
        <w:t xml:space="preserve"> of each QF to forbear </w:t>
      </w:r>
      <w:r>
        <w:rPr>
          <w:strike/>
          <w:sz w:val="22"/>
          <w:szCs w:val="22"/>
        </w:rPr>
        <w:t>under Section 2 above shall be conditioned upon the occurrence or waiver by such QF of each of the following events:</w:t>
      </w:r>
      <w:r>
        <w:rPr>
          <w:sz w:val="22"/>
          <w:szCs w:val="22"/>
        </w:rPr>
        <w:t xml:space="preserve"> </w:t>
      </w:r>
      <w:r>
        <w:rPr>
          <w:b/>
          <w:bCs/>
          <w:sz w:val="22"/>
          <w:szCs w:val="22"/>
          <w:u w:val="single"/>
        </w:rPr>
        <w:t>pursuant to Section 2 hereof shall terminate as follows:</w:t>
      </w:r>
    </w:p>
    <w:p>
      <w:pPr>
        <w:pStyle w:val="StandardL2"/>
        <w:widowControl/>
        <w:tabs>
          <w:tab w:val="clear" w:pos="1728"/>
          <w:tab w:val="clear" w:pos="2304"/>
          <w:tab w:val="left" w:pos="1440" w:leader="none"/>
          <w:tab w:val="left" w:pos="2160" w:leader="none"/>
        </w:tabs>
        <w:ind w:firstLine="1440" w:end="0"/>
        <w:rPr/>
      </w:pPr>
      <w:r>
        <w:rPr>
          <w:strike/>
          <w:sz w:val="22"/>
          <w:szCs w:val="22"/>
        </w:rPr>
        <w:t>(a) On or before the Effective Date,</w:t>
      </w:r>
      <w:r>
        <w:rPr>
          <w:b/>
          <w:bCs/>
          <w:sz w:val="22"/>
          <w:szCs w:val="22"/>
          <w:u w:val="single"/>
        </w:rPr>
        <w:t>(a)</w:t>
      </w:r>
      <w:r>
        <w:rPr>
          <w:sz w:val="22"/>
          <w:szCs w:val="22"/>
        </w:rPr>
        <w:tab/>
      </w:r>
      <w:r>
        <w:rPr>
          <w:b/>
          <w:bCs/>
          <w:sz w:val="22"/>
          <w:szCs w:val="22"/>
          <w:u w:val="single"/>
        </w:rPr>
        <w:t>At the option of such QF, if</w:t>
      </w:r>
      <w:r>
        <w:rPr>
          <w:sz w:val="22"/>
          <w:szCs w:val="22"/>
        </w:rPr>
        <w:t xml:space="preserve"> the owners of qualifying facilities representing </w:t>
      </w:r>
      <w:r>
        <w:rPr>
          <w:strike/>
          <w:sz w:val="22"/>
          <w:szCs w:val="22"/>
        </w:rPr>
        <w:t>no</w:t>
      </w:r>
      <w:r>
        <w:rPr>
          <w:sz w:val="22"/>
          <w:szCs w:val="22"/>
        </w:rPr>
        <w:t xml:space="preserve"> less than </w:t>
      </w:r>
      <w:r>
        <w:rPr>
          <w:strike/>
          <w:sz w:val="22"/>
          <w:szCs w:val="22"/>
        </w:rPr>
        <w:t>_____</w:t>
      </w:r>
      <w:r>
        <w:rPr>
          <w:b/>
          <w:bCs/>
          <w:sz w:val="22"/>
          <w:szCs w:val="22"/>
          <w:u w:val="single"/>
        </w:rPr>
        <w:t>___</w:t>
      </w:r>
      <w:r>
        <w:rPr>
          <w:sz w:val="22"/>
          <w:szCs w:val="22"/>
        </w:rPr>
        <w:t xml:space="preserve"> MW of generating capacity (nameplate rating) shall have </w:t>
      </w:r>
      <w:r>
        <w:rPr>
          <w:b/>
          <w:bCs/>
          <w:sz w:val="22"/>
          <w:szCs w:val="22"/>
          <w:u w:val="single"/>
        </w:rPr>
        <w:t>failed to</w:t>
      </w:r>
      <w:r>
        <w:rPr>
          <w:sz w:val="22"/>
          <w:szCs w:val="22"/>
        </w:rPr>
        <w:t xml:space="preserve"> executed and delivered a counterpart of this Agreement.</w:t>
      </w:r>
    </w:p>
    <w:p>
      <w:pPr>
        <w:pStyle w:val="StandardL2"/>
        <w:widowControl/>
        <w:tabs>
          <w:tab w:val="clear" w:pos="1728"/>
          <w:tab w:val="clear" w:pos="2304"/>
          <w:tab w:val="left" w:pos="1440" w:leader="none"/>
          <w:tab w:val="left" w:pos="2160" w:leader="none"/>
        </w:tabs>
        <w:ind w:firstLine="1440" w:end="0"/>
        <w:rPr/>
      </w:pPr>
      <w:r>
        <w:rPr>
          <w:sz w:val="22"/>
          <w:szCs w:val="22"/>
        </w:rPr>
        <w:t>(b)</w:t>
        <w:tab/>
      </w:r>
      <w:r>
        <w:rPr>
          <w:strike/>
          <w:sz w:val="22"/>
          <w:szCs w:val="22"/>
        </w:rPr>
        <w:t>On or before the Effective Date, such QF and PG&amp;E shall have executed definitive written PPA amendments in accordance with the principles set forth in Exhibit C hereto (the “PPA Amendments”), unless the PPA pricing terms of such QF have previously been amended to the satisfaction of such QF and PG&amp;E.</w:t>
      </w:r>
    </w:p>
    <w:p>
      <w:pPr>
        <w:pStyle w:val="StandardL2"/>
        <w:widowControl/>
        <w:tabs>
          <w:tab w:val="clear" w:pos="1728"/>
          <w:tab w:val="clear" w:pos="2304"/>
          <w:tab w:val="left" w:pos="1440" w:leader="none"/>
          <w:tab w:val="left" w:pos="2160" w:leader="none"/>
        </w:tabs>
        <w:ind w:firstLine="1440" w:end="0"/>
        <w:rPr>
          <w:strike/>
          <w:sz w:val="22"/>
          <w:szCs w:val="22"/>
        </w:rPr>
      </w:pPr>
      <w:r>
        <w:rPr>
          <w:strike/>
          <w:sz w:val="22"/>
          <w:szCs w:val="22"/>
        </w:rPr>
        <w:t>(c) On or before the Effective Date, such QF shall have obtained Payment Assurance with respect to its Assured Amount.</w:t>
      </w:r>
    </w:p>
    <w:p>
      <w:pPr>
        <w:pStyle w:val="StandardL2"/>
        <w:widowControl/>
        <w:tabs>
          <w:tab w:val="clear" w:pos="1728"/>
          <w:tab w:val="clear" w:pos="2304"/>
          <w:tab w:val="left" w:pos="1440" w:leader="none"/>
          <w:tab w:val="left" w:pos="2160" w:leader="none"/>
        </w:tabs>
        <w:ind w:firstLine="1440" w:end="0"/>
        <w:rPr>
          <w:strike/>
          <w:sz w:val="22"/>
          <w:szCs w:val="22"/>
        </w:rPr>
      </w:pPr>
      <w:r>
        <w:rPr>
          <w:strike/>
          <w:sz w:val="22"/>
          <w:szCs w:val="22"/>
        </w:rPr>
        <w:t>(d) On or before [the Effective Date] [February 8, 2001], (i) such QF shall have obtained ) an agreement of the State of California or of any other investment-grade entity (rated BBB- or better rating by Standard &amp; Poors or an equivalent rating by Moody’s), which may be an agency of the State of California, an investor-owned utility, or any other entity that meets the criteria of investment grade, in form and substance satisfactory to the QF in its sole discretion, providing assurance to the QF of payment when due of all obligations of PG&amp;E arising under the QF’s PPA after the expiration of the Forbearance Period or (ii) there shall have been legislation, an order of the CPUC or other governmental action, in form and substance satisfactory to the QF in its sole discretion, causing an investment-grade entity to provide assurance to the QF of payment when due of all obligations of PG&amp;E arising under the QF’s PPAs after the expiration of the Forbearance Period. [Change to a termination event if the date is after the Effective Date.]</w:t>
      </w:r>
    </w:p>
    <w:p>
      <w:pPr>
        <w:pStyle w:val="StandardL2"/>
        <w:widowControl/>
        <w:tabs>
          <w:tab w:val="clear" w:pos="1728"/>
          <w:tab w:val="clear" w:pos="2304"/>
          <w:tab w:val="left" w:pos="1440" w:leader="none"/>
          <w:tab w:val="left" w:pos="2160" w:leader="none"/>
        </w:tabs>
        <w:ind w:firstLine="1440" w:end="0"/>
        <w:rPr>
          <w:strike/>
          <w:sz w:val="22"/>
          <w:szCs w:val="22"/>
        </w:rPr>
      </w:pPr>
      <w:r>
        <w:rPr>
          <w:strike/>
          <w:sz w:val="22"/>
          <w:szCs w:val="22"/>
        </w:rPr>
        <w:t>(e) No Bankruptcy shall have occurred with respect to PG&amp;E.</w:t>
      </w:r>
    </w:p>
    <w:p>
      <w:pPr>
        <w:pStyle w:val="StandardL2"/>
        <w:widowControl/>
        <w:tabs>
          <w:tab w:val="clear" w:pos="1728"/>
          <w:tab w:val="clear" w:pos="2304"/>
          <w:tab w:val="left" w:pos="1440" w:leader="none"/>
          <w:tab w:val="left" w:pos="2160" w:leader="none"/>
        </w:tabs>
        <w:ind w:firstLine="1440" w:end="0"/>
        <w:rPr>
          <w:strike/>
          <w:sz w:val="22"/>
          <w:szCs w:val="22"/>
        </w:rPr>
      </w:pPr>
      <w:r>
        <w:rPr>
          <w:strike/>
          <w:sz w:val="22"/>
          <w:szCs w:val="22"/>
        </w:rPr>
        <w:t>6. Termination. The obligation of each QF to forbear pursuant to Section 2 hereof shall terminate as follows:</w:t>
      </w:r>
    </w:p>
    <w:p>
      <w:pPr>
        <w:pStyle w:val="StandardL2"/>
        <w:widowControl/>
        <w:tabs>
          <w:tab w:val="clear" w:pos="1728"/>
          <w:tab w:val="clear" w:pos="2304"/>
          <w:tab w:val="left" w:pos="1440" w:leader="none"/>
          <w:tab w:val="left" w:pos="2160" w:leader="none"/>
        </w:tabs>
        <w:ind w:firstLine="1440" w:end="0"/>
        <w:rPr>
          <w:sz w:val="22"/>
          <w:szCs w:val="22"/>
        </w:rPr>
      </w:pPr>
      <w:r>
        <w:rPr>
          <w:strike/>
          <w:sz w:val="22"/>
          <w:szCs w:val="22"/>
        </w:rPr>
        <w:t>(a)</w:t>
      </w:r>
      <w:r>
        <w:rPr>
          <w:sz w:val="22"/>
          <w:szCs w:val="22"/>
        </w:rPr>
        <w:t xml:space="preserve"> At the option of such QF, </w:t>
      </w:r>
      <w:r>
        <w:rPr>
          <w:strike/>
          <w:sz w:val="22"/>
          <w:szCs w:val="22"/>
        </w:rPr>
        <w:t>upon the issuance by the CPUC of any decision regarding energy pricing terms for qualifying facilities that conflicts with, or would prevent full performance of, this Agreement or the PPA Amendments, including, without limitation, the pending draft decision of Commissioner Wood or any modification or alternative thereto, unless such QF and PG&amp;E in good faith agree that such modification or alternative is consistent with this Agreement and the PPA Amendments described in Section 5(b) above.</w:t>
      </w:r>
      <w:r>
        <w:rPr>
          <w:sz w:val="22"/>
          <w:szCs w:val="22"/>
        </w:rPr>
        <w:t xml:space="preserve"> </w:t>
      </w:r>
      <w:r>
        <w:rPr>
          <w:b/>
          <w:bCs/>
          <w:sz w:val="22"/>
          <w:szCs w:val="22"/>
          <w:u w:val="single"/>
        </w:rPr>
        <w:t>if notice of termination of the obligation to forbear under this Agreement have been delivered to PG&amp;E by any QFs hereunder, such that less than ___ MW of generating capacity (nameplate rating) shall continue to be subject to forbearance hereunder.</w:t>
      </w:r>
    </w:p>
    <w:p>
      <w:pPr>
        <w:pStyle w:val="StandardL2"/>
        <w:widowControl/>
        <w:tabs>
          <w:tab w:val="clear" w:pos="1728"/>
          <w:tab w:val="clear" w:pos="2304"/>
          <w:tab w:val="left" w:pos="1440" w:leader="none"/>
          <w:tab w:val="left" w:pos="2160" w:leader="none"/>
        </w:tabs>
        <w:ind w:firstLine="1440" w:end="0"/>
        <w:rPr/>
      </w:pPr>
      <w:r>
        <w:rPr>
          <w:strike/>
          <w:sz w:val="22"/>
          <w:szCs w:val="22"/>
        </w:rPr>
        <w:t>(b)</w:t>
      </w:r>
      <w:r>
        <w:rPr>
          <w:b/>
          <w:bCs/>
          <w:sz w:val="22"/>
          <w:szCs w:val="22"/>
          <w:u w:val="single"/>
        </w:rPr>
        <w:t>(c)</w:t>
      </w:r>
      <w:r>
        <w:rPr>
          <w:sz w:val="22"/>
          <w:szCs w:val="22"/>
        </w:rPr>
        <w:tab/>
        <w:t xml:space="preserve">At the option of such QF, if any party to a material contract or agreement of such QF shall deny or withhold its consent to this Agreement </w:t>
      </w:r>
      <w:r>
        <w:rPr>
          <w:strike/>
          <w:sz w:val="22"/>
          <w:szCs w:val="22"/>
        </w:rPr>
        <w:t>or the PPA Amendment</w:t>
      </w:r>
      <w:r>
        <w:rPr>
          <w:sz w:val="22"/>
          <w:szCs w:val="22"/>
        </w:rPr>
        <w:t>, if such consent is required by the terms of such contract or agreement.</w:t>
      </w:r>
    </w:p>
    <w:p>
      <w:pPr>
        <w:pStyle w:val="NumContinue"/>
        <w:tabs>
          <w:tab w:val="clear" w:pos="576"/>
          <w:tab w:val="left" w:pos="1440" w:leader="none"/>
          <w:tab w:val="left" w:pos="2160" w:leader="none"/>
        </w:tabs>
        <w:ind w:firstLine="1440" w:end="0"/>
        <w:rPr/>
      </w:pPr>
      <w:r>
        <w:rPr>
          <w:strike/>
          <w:sz w:val="22"/>
          <w:szCs w:val="22"/>
        </w:rPr>
        <w:t>(c)</w:t>
      </w:r>
      <w:r>
        <w:rPr>
          <w:b/>
          <w:bCs/>
          <w:sz w:val="22"/>
          <w:szCs w:val="22"/>
          <w:u w:val="single"/>
        </w:rPr>
        <w:t>(d)</w:t>
      </w:r>
      <w:r>
        <w:rPr>
          <w:sz w:val="22"/>
          <w:szCs w:val="22"/>
        </w:rPr>
        <w:tab/>
        <w:t>Immediately upon a Bankruptcy of PG&amp;E.</w:t>
      </w:r>
    </w:p>
    <w:p>
      <w:pPr>
        <w:pStyle w:val="NumContinue"/>
        <w:tabs>
          <w:tab w:val="clear" w:pos="576"/>
          <w:tab w:val="left" w:pos="1440" w:leader="none"/>
          <w:tab w:val="left" w:pos="2160" w:leader="none"/>
        </w:tabs>
        <w:ind w:firstLine="1440" w:end="0"/>
        <w:rPr/>
      </w:pPr>
      <w:r>
        <w:rPr>
          <w:strike/>
          <w:sz w:val="22"/>
          <w:szCs w:val="22"/>
        </w:rPr>
        <w:t>(d)</w:t>
      </w:r>
      <w:r>
        <w:rPr>
          <w:b/>
          <w:bCs/>
          <w:sz w:val="22"/>
          <w:szCs w:val="22"/>
          <w:u w:val="single"/>
        </w:rPr>
        <w:t>(e)</w:t>
      </w:r>
      <w:r>
        <w:rPr>
          <w:sz w:val="22"/>
          <w:szCs w:val="22"/>
        </w:rPr>
        <w:tab/>
        <w:t xml:space="preserve">At the option of such QF, if, during the Forbearance Period, any payment by PG&amp;E is made to any qualifying facility under a power purchase agreement in excess of $10,000 in any month </w:t>
      </w:r>
      <w:r>
        <w:rPr>
          <w:b/>
          <w:bCs/>
          <w:sz w:val="22"/>
          <w:szCs w:val="22"/>
          <w:u w:val="single"/>
        </w:rPr>
        <w:t xml:space="preserve">to any one such qualifying facility, or in excess of $__________ in the aggregate in any month to any group of qualifying facilities (such payment being a “De Minimus Payment”), with the exception of </w:t>
      </w:r>
      <w:r>
        <w:rPr>
          <w:b/>
          <w:bCs/>
          <w:i/>
          <w:iCs/>
          <w:sz w:val="22"/>
          <w:szCs w:val="22"/>
          <w:u w:val="single"/>
        </w:rPr>
        <w:t>pari passu</w:t>
      </w:r>
      <w:r>
        <w:rPr>
          <w:sz w:val="22"/>
          <w:szCs w:val="22"/>
        </w:rPr>
        <w:t xml:space="preserve"> </w:t>
      </w:r>
      <w:r>
        <w:rPr>
          <w:b/>
          <w:bCs/>
          <w:sz w:val="22"/>
          <w:szCs w:val="22"/>
          <w:u w:val="single"/>
        </w:rPr>
        <w:t>payments made to all qualifying facilities pursuant to Section 7(f) below.</w:t>
      </w:r>
    </w:p>
    <w:p>
      <w:pPr>
        <w:pStyle w:val="NumContinue"/>
        <w:tabs>
          <w:tab w:val="clear" w:pos="576"/>
          <w:tab w:val="left" w:pos="1440" w:leader="none"/>
          <w:tab w:val="left" w:pos="2160" w:leader="none"/>
        </w:tabs>
        <w:ind w:firstLine="1440" w:end="0"/>
        <w:rPr/>
      </w:pPr>
      <w:r>
        <w:rPr>
          <w:b/>
          <w:bCs/>
          <w:sz w:val="22"/>
          <w:szCs w:val="22"/>
          <w:u w:val="single"/>
        </w:rPr>
        <w:t>(f)</w:t>
      </w:r>
      <w:r>
        <w:rPr>
          <w:sz w:val="22"/>
          <w:szCs w:val="22"/>
        </w:rPr>
        <w:tab/>
      </w:r>
      <w:r>
        <w:rPr>
          <w:b/>
          <w:bCs/>
          <w:sz w:val="22"/>
          <w:szCs w:val="22"/>
          <w:u w:val="single"/>
        </w:rPr>
        <w:t>At the option of such QF, if PG&amp;E is in default of any of its obligations hereunder, including, without limitation, its obligation under Section 2 above and under Section 7 below.</w:t>
      </w:r>
    </w:p>
    <w:p>
      <w:pPr>
        <w:pStyle w:val="NumContinue"/>
        <w:tabs>
          <w:tab w:val="clear" w:pos="576"/>
          <w:tab w:val="left" w:pos="1440" w:leader="none"/>
          <w:tab w:val="left" w:pos="2160" w:leader="none"/>
        </w:tabs>
        <w:ind w:firstLine="1440" w:end="0"/>
        <w:rPr/>
      </w:pPr>
      <w:r>
        <w:rPr>
          <w:b/>
          <w:bCs/>
          <w:sz w:val="22"/>
          <w:szCs w:val="22"/>
          <w:u w:val="single"/>
        </w:rPr>
        <w:t>(g)</w:t>
      </w:r>
      <w:r>
        <w:rPr>
          <w:sz w:val="22"/>
          <w:szCs w:val="22"/>
        </w:rPr>
        <w:tab/>
      </w:r>
      <w:r>
        <w:rPr>
          <w:b/>
          <w:bCs/>
          <w:sz w:val="22"/>
          <w:szCs w:val="22"/>
          <w:u w:val="single"/>
        </w:rPr>
        <w:t xml:space="preserve">At the option of such QF, if the Legislation has not been enacted by the California legislature and signed into law by the Governor of the State of California on or before ________, 2001. </w:t>
      </w:r>
    </w:p>
    <w:p>
      <w:pPr>
        <w:pStyle w:val="NumContinue"/>
        <w:tabs>
          <w:tab w:val="clear" w:pos="576"/>
          <w:tab w:val="left" w:pos="1440" w:leader="none"/>
          <w:tab w:val="left" w:pos="2160" w:leader="none"/>
        </w:tabs>
        <w:ind w:firstLine="1440" w:end="0"/>
        <w:rPr/>
      </w:pPr>
      <w:r>
        <w:rPr>
          <w:b/>
          <w:bCs/>
          <w:i/>
          <w:iCs/>
          <w:sz w:val="22"/>
          <w:szCs w:val="22"/>
          <w:u w:val="single"/>
        </w:rPr>
        <w:t>(h)</w:t>
      </w:r>
      <w:r>
        <w:rPr>
          <w:i/>
          <w:iCs/>
          <w:sz w:val="22"/>
          <w:szCs w:val="22"/>
        </w:rPr>
        <w:tab/>
      </w:r>
      <w:r>
        <w:rPr>
          <w:b/>
          <w:bCs/>
          <w:i/>
          <w:iCs/>
          <w:sz w:val="22"/>
          <w:szCs w:val="22"/>
          <w:u w:val="single"/>
        </w:rPr>
        <w:t>[</w:t>
      </w:r>
      <w:r>
        <w:rPr>
          <w:i/>
          <w:iCs/>
          <w:strike/>
          <w:sz w:val="22"/>
          <w:szCs w:val="22"/>
        </w:rPr>
        <w:t>(e)</w:t>
      </w:r>
      <w:r>
        <w:rPr>
          <w:i/>
          <w:iCs/>
          <w:sz w:val="22"/>
          <w:szCs w:val="22"/>
        </w:rPr>
        <w:t xml:space="preserve"> At the option of such QF, if, during the Forbearance Period, PG&amp;E sells, assigns, transfers or leases all or any substantial portion of its assets to any person or entity, or if PG&amp;E enters into any corporate reorganization or restructuring detrimental to the long term interests of the QFs.  [PG&amp;E has objected to this provision.]</w:t>
      </w:r>
    </w:p>
    <w:p>
      <w:pPr>
        <w:pStyle w:val="NumContinue"/>
        <w:tabs>
          <w:tab w:val="clear" w:pos="576"/>
          <w:tab w:val="left" w:pos="2160" w:leader="none"/>
          <w:tab w:val="left" w:pos="2880" w:leader="none"/>
        </w:tabs>
        <w:ind w:firstLine="1440" w:end="0"/>
        <w:rPr>
          <w:strike/>
          <w:sz w:val="22"/>
          <w:szCs w:val="22"/>
        </w:rPr>
      </w:pPr>
      <w:r>
        <w:rPr>
          <w:strike/>
          <w:sz w:val="22"/>
          <w:szCs w:val="22"/>
        </w:rPr>
        <w:t>(f) At the option of such QF, if, during the Forbearance Period, the credit rating of the provider of the Payment Assurance or the provider of the payment assurance described in Section 5(d) above falls below investment grade by both Standards &amp; Poors and Moody’s (BBB- by Standard &amp; Poors or the equivalent rating by Moody’s). [PG&amp;E has expressed significant concerns regarding this provision.]</w:t>
      </w:r>
    </w:p>
    <w:p>
      <w:pPr>
        <w:pStyle w:val="NumContinue"/>
        <w:tabs>
          <w:tab w:val="clear" w:pos="576"/>
          <w:tab w:val="left" w:pos="2160" w:leader="none"/>
          <w:tab w:val="left" w:pos="2880" w:leader="none"/>
        </w:tabs>
        <w:ind w:firstLine="1440" w:end="0"/>
        <w:rPr>
          <w:strike/>
          <w:sz w:val="22"/>
          <w:szCs w:val="22"/>
        </w:rPr>
      </w:pPr>
      <w:r>
        <w:rPr>
          <w:strike/>
          <w:sz w:val="22"/>
          <w:szCs w:val="22"/>
        </w:rPr>
        <w:t>(g) At the option of such QF, if PG&amp;E is in default of any of its obligations hereunder, including, without limitation, its obligation under Section 2 above and under Section 8 below.</w:t>
      </w:r>
    </w:p>
    <w:p>
      <w:pPr>
        <w:pStyle w:val="NumContinue"/>
        <w:tabs>
          <w:tab w:val="clear" w:pos="576"/>
          <w:tab w:val="left" w:pos="2160" w:leader="none"/>
          <w:tab w:val="left" w:pos="2880" w:leader="none"/>
        </w:tabs>
        <w:ind w:firstLine="1440" w:end="0"/>
        <w:rPr>
          <w:strike/>
          <w:sz w:val="22"/>
          <w:szCs w:val="22"/>
        </w:rPr>
      </w:pPr>
      <w:r>
        <w:rPr>
          <w:strike/>
          <w:sz w:val="22"/>
          <w:szCs w:val="22"/>
        </w:rPr>
        <w:t>(h) At the option of such QF, if the CPUC shall not have issued an order approving the PPA Amendments, without modification or condition, on or before February 8, 2001. [PG&amp;E has expressed significant concerns regarding this provision.]</w:t>
      </w:r>
    </w:p>
    <w:p>
      <w:pPr>
        <w:pStyle w:val="NumContinue"/>
        <w:tabs>
          <w:tab w:val="clear" w:pos="576"/>
          <w:tab w:val="left" w:pos="2160" w:leader="none"/>
          <w:tab w:val="left" w:pos="2880" w:leader="none"/>
        </w:tabs>
        <w:ind w:firstLine="1440" w:end="0"/>
        <w:rPr/>
      </w:pPr>
      <w:r>
        <w:rPr>
          <w:strike/>
          <w:sz w:val="22"/>
          <w:szCs w:val="22"/>
        </w:rPr>
        <w:t>(i)</w:t>
      </w:r>
      <w:r>
        <w:rPr>
          <w:b/>
          <w:bCs/>
          <w:sz w:val="22"/>
          <w:szCs w:val="22"/>
          <w:u w:val="single"/>
        </w:rPr>
        <w:t>(i)</w:t>
      </w:r>
      <w:r>
        <w:rPr>
          <w:sz w:val="22"/>
          <w:szCs w:val="22"/>
        </w:rPr>
        <w:tab/>
      </w:r>
      <w:r>
        <w:rPr>
          <w:b/>
          <w:bCs/>
          <w:i/>
          <w:iCs/>
          <w:sz w:val="22"/>
          <w:szCs w:val="22"/>
          <w:u w:val="single"/>
        </w:rPr>
        <w:t>[</w:t>
      </w:r>
      <w:r>
        <w:rPr>
          <w:i/>
          <w:iCs/>
          <w:sz w:val="22"/>
          <w:szCs w:val="22"/>
        </w:rPr>
        <w:t>At the option of such QF, if PG&amp;E makes any payments to or for the benefit of any supplier of electricity (energy or capacity) or holder of funded indebtedness (including letter of credit reimbursement obligations), in excess of $___________ per month.  [PG&amp;E has objected to this provision.]</w:t>
      </w:r>
    </w:p>
    <w:p>
      <w:pPr>
        <w:pStyle w:val="NumContinue"/>
        <w:tabs>
          <w:tab w:val="clear" w:pos="576"/>
          <w:tab w:val="left" w:pos="2160" w:leader="none"/>
          <w:tab w:val="left" w:pos="2880" w:leader="none"/>
        </w:tabs>
        <w:ind w:firstLine="1440" w:end="0"/>
        <w:rPr/>
      </w:pPr>
      <w:r>
        <w:rPr>
          <w:i/>
          <w:iCs/>
          <w:sz w:val="22"/>
          <w:szCs w:val="22"/>
        </w:rPr>
        <w:t>(j)</w:t>
        <w:tab/>
      </w:r>
      <w:r>
        <w:rPr>
          <w:b/>
          <w:bCs/>
          <w:i/>
          <w:iCs/>
          <w:sz w:val="22"/>
          <w:szCs w:val="22"/>
          <w:u w:val="single"/>
        </w:rPr>
        <w:t>[</w:t>
      </w:r>
      <w:r>
        <w:rPr>
          <w:i/>
          <w:iCs/>
          <w:sz w:val="22"/>
          <w:szCs w:val="22"/>
        </w:rPr>
        <w:t xml:space="preserve">At the option of such QF, if PG&amp;E grants collateral to or for the benefit of  any creditor securing indebtedness in excess of $____________.  [PG&amp;E has expressed significant concerns regarding this provision.]  </w:t>
      </w:r>
    </w:p>
    <w:p>
      <w:pPr>
        <w:pStyle w:val="NumContinue"/>
        <w:tabs>
          <w:tab w:val="clear" w:pos="576"/>
          <w:tab w:val="left" w:pos="2160" w:leader="none"/>
          <w:tab w:val="left" w:pos="2880" w:leader="none"/>
        </w:tabs>
        <w:ind w:firstLine="1440" w:end="0"/>
        <w:rPr/>
      </w:pPr>
      <w:r>
        <w:rPr>
          <w:i/>
          <w:iCs/>
          <w:sz w:val="22"/>
          <w:szCs w:val="22"/>
        </w:rPr>
        <w:t>(k)</w:t>
        <w:tab/>
      </w:r>
      <w:r>
        <w:rPr>
          <w:b/>
          <w:bCs/>
          <w:i/>
          <w:iCs/>
          <w:sz w:val="22"/>
          <w:szCs w:val="22"/>
          <w:u w:val="single"/>
        </w:rPr>
        <w:t>[</w:t>
      </w:r>
      <w:r>
        <w:rPr>
          <w:i/>
          <w:iCs/>
          <w:sz w:val="22"/>
          <w:szCs w:val="22"/>
        </w:rPr>
        <w:t xml:space="preserve">At the option of such QF, if any creditor of PG&amp;E obtains a non-consensual lien (including any lien created by the issuance of a TRO in connection with an application for an attachment) on any assets of PG&amp;E securing indebtedness in excess of $___________.  [PG&amp;E has expressed significant concerns regarding this provision.] </w:t>
      </w:r>
    </w:p>
    <w:p>
      <w:pPr>
        <w:pStyle w:val="NumContinue"/>
        <w:tabs>
          <w:tab w:val="clear" w:pos="576"/>
          <w:tab w:val="left" w:pos="2160" w:leader="none"/>
          <w:tab w:val="left" w:pos="2880" w:leader="none"/>
        </w:tabs>
        <w:ind w:firstLine="1440" w:end="0"/>
        <w:rPr>
          <w:b/>
          <w:bCs/>
          <w:sz w:val="22"/>
          <w:szCs w:val="22"/>
          <w:u w:val="single"/>
        </w:rPr>
      </w:pPr>
      <w:r>
        <w:rPr>
          <w:b/>
          <w:bCs/>
          <w:sz w:val="22"/>
          <w:szCs w:val="22"/>
          <w:u w:val="single"/>
        </w:rPr>
        <w:t>The termination of any QF’s forbearance obligation under Section 2 shall become effective upon written notice delivered by such QF to PG&amp;E.</w:t>
      </w:r>
    </w:p>
    <w:p>
      <w:pPr>
        <w:pStyle w:val="Legal2TabL1"/>
        <w:widowControl/>
        <w:tabs>
          <w:tab w:val="left" w:pos="1440" w:leader="none"/>
          <w:tab w:val="left" w:pos="1800" w:leader="none"/>
        </w:tabs>
        <w:rPr/>
      </w:pPr>
      <w:r>
        <w:rPr>
          <w:rFonts w:eastAsia="Times New Roman Bold" w:cs="Times New Roman Bold" w:ascii="Times New Roman Bold" w:hAnsi="Times New Roman Bold"/>
          <w:b/>
          <w:bCs/>
          <w:u w:val="single"/>
        </w:rPr>
        <w:t xml:space="preserve">Section </w:t>
      </w:r>
      <w:r>
        <w:rPr>
          <w:b/>
          <w:bCs/>
          <w:u w:val="single"/>
        </w:rPr>
        <w:t>6</w:t>
      </w:r>
      <w:r>
        <w:rPr>
          <w:b/>
          <w:bCs/>
        </w:rPr>
        <w:t xml:space="preserve"> </w:t>
      </w:r>
      <w:r>
        <w:rPr>
          <w:b/>
          <w:bCs/>
          <w:strike/>
        </w:rPr>
        <w:t>7</w:t>
      </w:r>
      <w:r>
        <w:rPr>
          <w:b/>
          <w:bCs/>
        </w:rPr>
        <w:t>.</w:t>
      </w:r>
      <w:r>
        <w:rPr>
          <w:rFonts w:eastAsia="Times New Roman Bold" w:cs="Times New Roman Bold" w:ascii="Times New Roman Bold" w:hAnsi="Times New Roman Bold"/>
          <w:b/>
          <w:bCs/>
        </w:rPr>
        <w:tab/>
      </w:r>
      <w:r>
        <w:rPr>
          <w:sz w:val="22"/>
          <w:szCs w:val="22"/>
        </w:rPr>
        <w:tab/>
      </w:r>
      <w:r>
        <w:rPr>
          <w:sz w:val="22"/>
          <w:szCs w:val="22"/>
          <w:u w:val="single"/>
        </w:rPr>
        <w:t>QFs to Honor PPAs</w:t>
      </w:r>
      <w:r>
        <w:rPr>
          <w:sz w:val="22"/>
          <w:szCs w:val="22"/>
        </w:rPr>
        <w:t xml:space="preserve">.  During the Forbearance Period, and provided that the obligations of the QFs to forbear have not terminated pursuant to Section 5 </w:t>
      </w:r>
      <w:r>
        <w:rPr>
          <w:strike/>
          <w:sz w:val="22"/>
          <w:szCs w:val="22"/>
        </w:rPr>
        <w:t>or 6</w:t>
      </w:r>
      <w:r>
        <w:rPr>
          <w:sz w:val="22"/>
          <w:szCs w:val="22"/>
        </w:rPr>
        <w:t xml:space="preserve"> hereof, each QF will continue to perform its PPA in accordance with, and subject to, the terms and conditions thereof as if payment of the Forbearance Amounts had been timely made.</w:t>
      </w:r>
    </w:p>
    <w:p>
      <w:pPr>
        <w:pStyle w:val="Legal2TabL1"/>
        <w:widowControl/>
        <w:tabs>
          <w:tab w:val="left" w:pos="1440" w:leader="none"/>
          <w:tab w:val="left" w:pos="1800" w:leader="none"/>
        </w:tabs>
        <w:rPr/>
      </w:pPr>
      <w:r>
        <w:rPr>
          <w:rFonts w:eastAsia="Times New Roman Bold" w:cs="Times New Roman Bold" w:ascii="Times New Roman Bold" w:hAnsi="Times New Roman Bold"/>
          <w:b/>
          <w:bCs/>
          <w:strike/>
        </w:rPr>
        <w:t>8</w:t>
      </w:r>
      <w:r>
        <w:rPr>
          <w:rFonts w:eastAsia="Times New Roman Bold" w:cs="Times New Roman Bold" w:ascii="Times New Roman Bold" w:hAnsi="Times New Roman Bold"/>
          <w:b/>
          <w:bCs/>
        </w:rPr>
        <w:t xml:space="preserve"> </w:t>
      </w:r>
      <w:r>
        <w:rPr>
          <w:rFonts w:eastAsia="Times New Roman Bold" w:cs="Times New Roman Bold" w:ascii="Times New Roman Bold" w:hAnsi="Times New Roman Bold"/>
          <w:b/>
          <w:bCs/>
          <w:u w:val="single"/>
        </w:rPr>
        <w:t xml:space="preserve">Section </w:t>
      </w:r>
      <w:r>
        <w:rPr>
          <w:b/>
          <w:bCs/>
          <w:u w:val="single"/>
        </w:rPr>
        <w:t>7</w:t>
      </w:r>
      <w:r>
        <w:rPr>
          <w:b/>
          <w:bCs/>
        </w:rPr>
        <w:t>.</w:t>
      </w:r>
      <w:r>
        <w:rPr>
          <w:rFonts w:eastAsia="Times New Roman Bold" w:cs="Times New Roman Bold" w:ascii="Times New Roman Bold" w:hAnsi="Times New Roman Bold"/>
          <w:b/>
          <w:bCs/>
        </w:rPr>
        <w:tab/>
      </w:r>
      <w:r>
        <w:rPr>
          <w:sz w:val="22"/>
          <w:szCs w:val="22"/>
        </w:rPr>
        <w:tab/>
      </w:r>
      <w:r>
        <w:rPr>
          <w:sz w:val="22"/>
          <w:szCs w:val="22"/>
          <w:u w:val="single"/>
        </w:rPr>
        <w:t>Covenants</w:t>
      </w:r>
      <w:r>
        <w:rPr>
          <w:sz w:val="22"/>
          <w:szCs w:val="22"/>
        </w:rPr>
        <w:t>.  PG&amp;E covenants as follows:</w:t>
      </w:r>
    </w:p>
    <w:p>
      <w:pPr>
        <w:pStyle w:val="NumContinue"/>
        <w:tabs>
          <w:tab w:val="clear" w:pos="576"/>
          <w:tab w:val="left" w:pos="1440" w:leader="none"/>
          <w:tab w:val="left" w:pos="2160" w:leader="none"/>
          <w:tab w:val="left" w:pos="3060" w:leader="none"/>
        </w:tabs>
        <w:ind w:firstLine="1440" w:end="0"/>
        <w:rPr>
          <w:sz w:val="22"/>
          <w:szCs w:val="22"/>
        </w:rPr>
      </w:pPr>
      <w:r>
        <w:rPr>
          <w:sz w:val="22"/>
          <w:szCs w:val="22"/>
        </w:rPr>
        <w:t>(a)</w:t>
        <w:tab/>
        <w:t>Subject to the forbearance set forth in Section 3 above, during the Forbearance Period, PG&amp;E will continue to perform each PPA in accordance with, and subject to, the terms and conditions thereof.</w:t>
      </w:r>
    </w:p>
    <w:p>
      <w:pPr>
        <w:pStyle w:val="NumContinue"/>
        <w:tabs>
          <w:tab w:val="clear" w:pos="576"/>
          <w:tab w:val="left" w:pos="1440" w:leader="none"/>
          <w:tab w:val="left" w:pos="2160" w:leader="none"/>
          <w:tab w:val="left" w:pos="3060" w:leader="none"/>
        </w:tabs>
        <w:ind w:firstLine="1440" w:end="0"/>
        <w:rPr/>
      </w:pPr>
      <w:r>
        <w:rPr>
          <w:sz w:val="22"/>
          <w:szCs w:val="22"/>
        </w:rPr>
        <w:t>(b)</w:t>
        <w:tab/>
        <w:t xml:space="preserve">PG&amp;E agrees that it does not dispute the amount of the Forbearance Amounts that are ascertainable as of the Effective Date, as set forth in </w:t>
      </w:r>
      <w:r>
        <w:rPr>
          <w:sz w:val="22"/>
          <w:szCs w:val="22"/>
          <w:u w:val="single"/>
        </w:rPr>
        <w:t>Exhibit B</w:t>
      </w:r>
      <w:r>
        <w:rPr>
          <w:sz w:val="22"/>
          <w:szCs w:val="22"/>
        </w:rPr>
        <w:t xml:space="preserve"> hereto, and agrees that the Forbearance Amounts set forth in</w:t>
      </w:r>
      <w:r>
        <w:rPr>
          <w:sz w:val="22"/>
          <w:szCs w:val="22"/>
          <w:u w:val="single"/>
        </w:rPr>
        <w:t xml:space="preserve"> Exhibit B</w:t>
      </w:r>
      <w:r>
        <w:rPr>
          <w:sz w:val="22"/>
          <w:szCs w:val="22"/>
        </w:rPr>
        <w:t xml:space="preserve"> hereto, plus all other Forbearance Amounts that are not ascertainable as of the Effective Date, but are owing by PG&amp;E under the PPAs, will be paid by PG&amp;E on the expiration of the Forbearance Period, as set forth in </w:t>
      </w:r>
      <w:r>
        <w:rPr>
          <w:strike/>
          <w:sz w:val="22"/>
          <w:szCs w:val="22"/>
        </w:rPr>
        <w:t>Section 3</w:t>
      </w:r>
      <w:r>
        <w:rPr>
          <w:sz w:val="22"/>
          <w:szCs w:val="22"/>
        </w:rPr>
        <w:t xml:space="preserve"> </w:t>
      </w:r>
      <w:r>
        <w:rPr>
          <w:b/>
          <w:bCs/>
          <w:sz w:val="22"/>
          <w:szCs w:val="22"/>
          <w:u w:val="single"/>
        </w:rPr>
        <w:t>Section 3</w:t>
      </w:r>
      <w:r>
        <w:rPr>
          <w:sz w:val="22"/>
          <w:szCs w:val="22"/>
        </w:rPr>
        <w:t xml:space="preserve"> above.  </w:t>
      </w:r>
    </w:p>
    <w:p>
      <w:pPr>
        <w:pStyle w:val="NumContinue"/>
        <w:tabs>
          <w:tab w:val="clear" w:pos="576"/>
          <w:tab w:val="left" w:pos="1440" w:leader="none"/>
          <w:tab w:val="left" w:pos="2160" w:leader="none"/>
        </w:tabs>
        <w:ind w:firstLine="1440" w:end="0"/>
        <w:rPr/>
      </w:pPr>
      <w:r>
        <w:rPr>
          <w:sz w:val="22"/>
          <w:szCs w:val="22"/>
        </w:rPr>
        <w:t>(c)</w:t>
        <w:tab/>
        <w:t xml:space="preserve">PG&amp;E agrees that it shall undertake all reasonable efforts to advocate </w:t>
      </w:r>
      <w:r>
        <w:rPr>
          <w:strike/>
          <w:sz w:val="22"/>
          <w:szCs w:val="22"/>
        </w:rPr>
        <w:t>that the CPUC hold until its February 8, 2001, business meeting the pending draft decision of Commissioner Wood regarding QF energy price terms and any decision on PG&amp;E’s Emergency Motion filed with the CPUC on January 10</w:t>
      </w:r>
      <w:r>
        <w:rPr>
          <w:sz w:val="22"/>
          <w:szCs w:val="22"/>
        </w:rPr>
        <w:t xml:space="preserve"> </w:t>
      </w:r>
      <w:r>
        <w:rPr>
          <w:b/>
          <w:bCs/>
          <w:sz w:val="22"/>
          <w:szCs w:val="22"/>
          <w:u w:val="single"/>
        </w:rPr>
        <w:t>the passage of the Legislation by the California legislature and the signing of the Legislature by the Governor of the State of California no later than ____</w:t>
      </w:r>
      <w:r>
        <w:rPr>
          <w:sz w:val="22"/>
          <w:szCs w:val="22"/>
        </w:rPr>
        <w:t>, 2001.</w:t>
      </w:r>
    </w:p>
    <w:p>
      <w:pPr>
        <w:pStyle w:val="NumContinue"/>
        <w:tabs>
          <w:tab w:val="clear" w:pos="576"/>
          <w:tab w:val="left" w:pos="1440" w:leader="none"/>
          <w:tab w:val="left" w:pos="2160" w:leader="none"/>
        </w:tabs>
        <w:ind w:firstLine="1440" w:end="0"/>
        <w:rPr>
          <w:sz w:val="22"/>
          <w:szCs w:val="22"/>
        </w:rPr>
      </w:pPr>
      <w:r>
        <w:rPr>
          <w:sz w:val="22"/>
          <w:szCs w:val="22"/>
        </w:rPr>
        <w:t>(d)</w:t>
        <w:tab/>
        <w:t>PG&amp;E agrees that it shall take all good faith actions to ensure that the principals of this Agreement are fully adopted and supported by all state and federal regulatory, legislative and executive entities.</w:t>
      </w:r>
    </w:p>
    <w:p>
      <w:pPr>
        <w:pStyle w:val="NumContinue"/>
        <w:tabs>
          <w:tab w:val="clear" w:pos="576"/>
          <w:tab w:val="left" w:pos="1440" w:leader="none"/>
          <w:tab w:val="left" w:pos="2160" w:leader="none"/>
        </w:tabs>
        <w:ind w:firstLine="1440" w:end="0"/>
        <w:rPr>
          <w:sz w:val="22"/>
          <w:szCs w:val="22"/>
        </w:rPr>
      </w:pPr>
      <w:r>
        <w:rPr>
          <w:sz w:val="22"/>
          <w:szCs w:val="22"/>
        </w:rPr>
        <w:t>(e)</w:t>
        <w:tab/>
        <w:t xml:space="preserve">PG&amp;E agrees that, during the Forbearance Period, it shall immediately inform each QF that is a party to this Agreement of any default by PG&amp;E under this Agreement and of any event, condition or circumstance described in Section </w:t>
      </w:r>
      <w:r>
        <w:rPr>
          <w:strike/>
          <w:sz w:val="22"/>
          <w:szCs w:val="22"/>
        </w:rPr>
        <w:t>6 hereof.</w:t>
      </w:r>
      <w:r>
        <w:rPr>
          <w:sz w:val="22"/>
          <w:szCs w:val="22"/>
        </w:rPr>
        <w:t xml:space="preserve"> </w:t>
      </w:r>
      <w:r>
        <w:rPr>
          <w:b/>
          <w:bCs/>
          <w:sz w:val="22"/>
          <w:szCs w:val="22"/>
          <w:u w:val="single"/>
        </w:rPr>
        <w:t>5 hereof.</w:t>
      </w:r>
    </w:p>
    <w:p>
      <w:pPr>
        <w:pStyle w:val="NumContinue"/>
        <w:tabs>
          <w:tab w:val="clear" w:pos="576"/>
          <w:tab w:val="left" w:pos="1440" w:leader="none"/>
          <w:tab w:val="left" w:pos="2160" w:leader="none"/>
        </w:tabs>
        <w:ind w:firstLine="1440" w:end="0"/>
        <w:rPr/>
      </w:pPr>
      <w:r>
        <w:rPr>
          <w:strike/>
          <w:sz w:val="22"/>
          <w:szCs w:val="22"/>
        </w:rPr>
        <w:t>9</w:t>
      </w:r>
      <w:r>
        <w:rPr>
          <w:b/>
          <w:bCs/>
          <w:sz w:val="22"/>
          <w:szCs w:val="22"/>
          <w:u w:val="single"/>
        </w:rPr>
        <w:t>(f)</w:t>
      </w:r>
      <w:r>
        <w:rPr>
          <w:sz w:val="22"/>
          <w:szCs w:val="22"/>
        </w:rPr>
        <w:tab/>
      </w:r>
      <w:r>
        <w:rPr>
          <w:b/>
          <w:bCs/>
          <w:sz w:val="22"/>
          <w:szCs w:val="22"/>
          <w:u w:val="single"/>
        </w:rPr>
        <w:t xml:space="preserve">PG&amp;E agrees, in the event that any payment is made to any qualifying facility under a power purchase agreement, with the exception of the De Minimus Payments described in Section 5(e) above, that it shall make any such payments to all qualifying facilities on a </w:t>
      </w:r>
      <w:r>
        <w:rPr>
          <w:b/>
          <w:bCs/>
          <w:i/>
          <w:iCs/>
          <w:sz w:val="22"/>
          <w:szCs w:val="22"/>
          <w:u w:val="single"/>
        </w:rPr>
        <w:t xml:space="preserve">pari passu </w:t>
      </w:r>
      <w:r>
        <w:rPr>
          <w:b/>
          <w:bCs/>
          <w:sz w:val="22"/>
          <w:szCs w:val="22"/>
          <w:u w:val="single"/>
        </w:rPr>
        <w:t>basis, based upon the ratio, the numerator of which is the amount owed to such each qualifying facility under its power purchase agreement for electricity (energy and capacity) delivered to PG&amp;E from December 1, 2000, through the date of such payment (the “PPA Amount”), and the denominator of which is the PPA Amounts owed to all of the qualifying facilities under their power purchase agreements.</w:t>
      </w:r>
    </w:p>
    <w:p>
      <w:pPr>
        <w:pStyle w:val="NumContinue"/>
        <w:tabs>
          <w:tab w:val="clear" w:pos="576"/>
          <w:tab w:val="left" w:pos="1440" w:leader="none"/>
          <w:tab w:val="left" w:pos="2160" w:leader="none"/>
        </w:tabs>
        <w:ind w:firstLine="1440" w:end="0"/>
        <w:rPr>
          <w:b/>
          <w:bCs/>
          <w:sz w:val="22"/>
          <w:szCs w:val="22"/>
          <w:u w:val="single"/>
        </w:rPr>
      </w:pPr>
      <w:r>
        <w:rPr>
          <w:b/>
          <w:bCs/>
          <w:sz w:val="22"/>
          <w:szCs w:val="22"/>
          <w:u w:val="single"/>
        </w:rPr>
        <w:t>(g)</w:t>
      </w:r>
      <w:r>
        <w:rPr>
          <w:sz w:val="22"/>
          <w:szCs w:val="22"/>
        </w:rPr>
        <w:tab/>
      </w:r>
      <w:r>
        <w:rPr>
          <w:b/>
          <w:bCs/>
          <w:i/>
          <w:iCs/>
          <w:sz w:val="22"/>
          <w:szCs w:val="22"/>
          <w:u w:val="single"/>
        </w:rPr>
        <w:t>[PG&amp;E agrees that it shall undertake all reasonable efforts to advocate that the CPUC hold until its February 8, 2001, business meeting the pending draft decision of Commissioner Wood regarding QF energy price terms and any decision on PG&amp;E’s Emergency Motion filed with the CPUC on January 10, 2001.]  STILL NEED?</w:t>
      </w:r>
    </w:p>
    <w:p>
      <w:pPr>
        <w:pStyle w:val="Legal2TabL1"/>
        <w:widowControl/>
        <w:tabs>
          <w:tab w:val="left" w:pos="1440" w:leader="none"/>
          <w:tab w:val="left" w:pos="1800" w:leader="none"/>
        </w:tabs>
        <w:rPr/>
      </w:pPr>
      <w:r>
        <w:rPr>
          <w:rFonts w:eastAsia="Times New Roman Bold" w:cs="Times New Roman Bold" w:ascii="Times New Roman Bold" w:hAnsi="Times New Roman Bold"/>
          <w:b/>
          <w:bCs/>
          <w:u w:val="single"/>
        </w:rPr>
        <w:t xml:space="preserve">Section </w:t>
      </w:r>
      <w:r>
        <w:rPr>
          <w:b/>
          <w:bCs/>
          <w:u w:val="single"/>
        </w:rPr>
        <w:t>8</w:t>
      </w:r>
      <w:r>
        <w:rPr>
          <w:b/>
          <w:bCs/>
        </w:rPr>
        <w:t>.</w:t>
      </w:r>
      <w:r>
        <w:rPr>
          <w:rFonts w:eastAsia="Times New Roman Bold" w:cs="Times New Roman Bold" w:ascii="Times New Roman Bold" w:hAnsi="Times New Roman Bold"/>
          <w:b/>
          <w:bCs/>
        </w:rPr>
        <w:tab/>
      </w:r>
      <w:r>
        <w:rPr>
          <w:sz w:val="22"/>
          <w:szCs w:val="22"/>
        </w:rPr>
        <w:tab/>
      </w:r>
      <w:r>
        <w:rPr>
          <w:sz w:val="22"/>
          <w:szCs w:val="22"/>
          <w:u w:val="single"/>
        </w:rPr>
        <w:t>Miscellaneous</w:t>
      </w:r>
      <w:r>
        <w:rPr>
          <w:sz w:val="22"/>
          <w:szCs w:val="22"/>
        </w:rPr>
        <w:t>.</w:t>
      </w:r>
    </w:p>
    <w:p>
      <w:pPr>
        <w:pStyle w:val="StandardL2"/>
        <w:widowControl/>
        <w:tabs>
          <w:tab w:val="clear" w:pos="1728"/>
          <w:tab w:val="clear" w:pos="2304"/>
          <w:tab w:val="left" w:pos="1440" w:leader="none"/>
          <w:tab w:val="left" w:pos="2160" w:leader="none"/>
        </w:tabs>
        <w:ind w:firstLine="1440" w:end="0"/>
        <w:rPr>
          <w:sz w:val="22"/>
          <w:szCs w:val="22"/>
        </w:rPr>
      </w:pPr>
      <w:r>
        <w:rPr>
          <w:sz w:val="22"/>
          <w:szCs w:val="22"/>
        </w:rPr>
        <w:t>(a)</w:t>
        <w:tab/>
        <w:t>This Agreement shall be governed by, and construed in accordance with, the laws of the State of California.</w:t>
      </w:r>
    </w:p>
    <w:p>
      <w:pPr>
        <w:pStyle w:val="StandardL2"/>
        <w:widowControl/>
        <w:tabs>
          <w:tab w:val="clear" w:pos="1728"/>
          <w:tab w:val="clear" w:pos="2304"/>
          <w:tab w:val="left" w:pos="1440" w:leader="none"/>
          <w:tab w:val="left" w:pos="2160" w:leader="none"/>
        </w:tabs>
        <w:ind w:firstLine="1440" w:end="0"/>
        <w:rPr/>
      </w:pPr>
      <w:r>
        <w:rPr>
          <w:sz w:val="22"/>
          <w:szCs w:val="22"/>
        </w:rPr>
        <w:t>(b)</w:t>
        <w:tab/>
        <w:t xml:space="preserve">This Agreement </w:t>
      </w:r>
      <w:r>
        <w:rPr>
          <w:strike/>
          <w:sz w:val="22"/>
          <w:szCs w:val="22"/>
        </w:rPr>
        <w:t>and the PPA Amendments constitute</w:t>
      </w:r>
      <w:r>
        <w:rPr>
          <w:sz w:val="22"/>
          <w:szCs w:val="22"/>
        </w:rPr>
        <w:t xml:space="preserve"> </w:t>
      </w:r>
      <w:r>
        <w:rPr>
          <w:b/>
          <w:bCs/>
          <w:sz w:val="22"/>
          <w:szCs w:val="22"/>
          <w:u w:val="single"/>
        </w:rPr>
        <w:t>constitutes</w:t>
      </w:r>
      <w:r>
        <w:rPr>
          <w:sz w:val="22"/>
          <w:szCs w:val="22"/>
        </w:rPr>
        <w:t xml:space="preserve"> the entire agreement between the parties hereto with respect to the subject matter hereof </w:t>
      </w:r>
      <w:r>
        <w:rPr>
          <w:strike/>
          <w:sz w:val="22"/>
          <w:szCs w:val="22"/>
        </w:rPr>
        <w:t>and thereof</w:t>
      </w:r>
      <w:r>
        <w:rPr>
          <w:sz w:val="22"/>
          <w:szCs w:val="22"/>
        </w:rPr>
        <w:t xml:space="preserve">,  and </w:t>
      </w:r>
      <w:r>
        <w:rPr>
          <w:strike/>
          <w:sz w:val="22"/>
          <w:szCs w:val="22"/>
        </w:rPr>
        <w:t>supersede</w:t>
      </w:r>
      <w:r>
        <w:rPr>
          <w:sz w:val="22"/>
          <w:szCs w:val="22"/>
        </w:rPr>
        <w:t xml:space="preserve"> </w:t>
      </w:r>
      <w:r>
        <w:rPr>
          <w:b/>
          <w:bCs/>
          <w:sz w:val="22"/>
          <w:szCs w:val="22"/>
          <w:u w:val="single"/>
        </w:rPr>
        <w:t>supersedes</w:t>
      </w:r>
      <w:r>
        <w:rPr>
          <w:sz w:val="22"/>
          <w:szCs w:val="22"/>
        </w:rPr>
        <w:t xml:space="preserve"> all prior negotiations, communications, discussions and correspondence concerning the forbearance described herein.</w:t>
      </w:r>
    </w:p>
    <w:p>
      <w:pPr>
        <w:pStyle w:val="StandardL2"/>
        <w:widowControl/>
        <w:tabs>
          <w:tab w:val="clear" w:pos="1728"/>
          <w:tab w:val="clear" w:pos="2304"/>
          <w:tab w:val="left" w:pos="1440" w:leader="none"/>
          <w:tab w:val="left" w:pos="2160" w:leader="none"/>
        </w:tabs>
        <w:ind w:firstLine="1440" w:end="0"/>
        <w:rPr>
          <w:sz w:val="22"/>
          <w:szCs w:val="22"/>
        </w:rPr>
      </w:pPr>
      <w:r>
        <w:rPr>
          <w:sz w:val="22"/>
          <w:szCs w:val="22"/>
        </w:rPr>
        <w:t>(c)</w:t>
        <w:tab/>
        <w:t>If any provision of this Agreement shall for any reason be determined by a court of competent jurisdiction to be unenforceable in any respect, such unenforceability shall not affect any other provision hereof, and this Agreement shall be construed as if such unenforceable provision had not been contained herein and to restore this Agreement, as closely as possibly, to its original intent and effect, and provided that such unenforceable provision does not materially affect the benefit of the bargain of each party hereto.  If such unenforceable provision does materially affect the benefit of the bargain of a party hereto, this Agreement shall terminate and be of no further force or effect.</w:t>
      </w:r>
    </w:p>
    <w:p>
      <w:pPr>
        <w:pStyle w:val="StandardL2"/>
        <w:widowControl/>
        <w:tabs>
          <w:tab w:val="clear" w:pos="1728"/>
          <w:tab w:val="clear" w:pos="2304"/>
          <w:tab w:val="left" w:pos="1440" w:leader="none"/>
          <w:tab w:val="left" w:pos="2160" w:leader="none"/>
        </w:tabs>
        <w:ind w:firstLine="1440" w:end="0"/>
        <w:rPr>
          <w:sz w:val="22"/>
          <w:szCs w:val="22"/>
        </w:rPr>
      </w:pPr>
      <w:r>
        <w:rPr>
          <w:sz w:val="22"/>
          <w:szCs w:val="22"/>
        </w:rPr>
        <w:t>(d)</w:t>
        <w:tab/>
        <w:t>This Agreement may be executed in any number of counterparts, each of which shall be deemed an original, but all such counterparts together shall constitute but one and the same instrument.</w:t>
      </w:r>
    </w:p>
    <w:p>
      <w:pPr>
        <w:pStyle w:val="StandardL2"/>
        <w:widowControl/>
        <w:tabs>
          <w:tab w:val="clear" w:pos="1728"/>
          <w:tab w:val="clear" w:pos="2304"/>
          <w:tab w:val="left" w:pos="1440" w:leader="none"/>
          <w:tab w:val="left" w:pos="2160" w:leader="none"/>
        </w:tabs>
        <w:ind w:firstLine="1440" w:end="0"/>
        <w:rPr>
          <w:sz w:val="22"/>
          <w:szCs w:val="22"/>
        </w:rPr>
      </w:pPr>
      <w:r>
        <w:rPr>
          <w:sz w:val="22"/>
          <w:szCs w:val="22"/>
        </w:rPr>
        <w:t>(e)</w:t>
        <w:tab/>
        <w:t>If any legal action is brought for the enforcement of this Agreement, or because of an alleged dispute, breach, default hereunder, the successful or prevailing party shall be entitled to recover reasonable attorneys fees and other costs incurred in that action, in addition to any other relief to which it may be entitled.</w:t>
      </w:r>
    </w:p>
    <w:p>
      <w:pPr>
        <w:pStyle w:val="StandardL2"/>
        <w:widowControl/>
        <w:tabs>
          <w:tab w:val="clear" w:pos="1728"/>
          <w:tab w:val="clear" w:pos="2304"/>
          <w:tab w:val="left" w:pos="1440" w:leader="none"/>
          <w:tab w:val="left" w:pos="2160" w:leader="none"/>
        </w:tabs>
        <w:ind w:firstLine="1440" w:end="0"/>
        <w:rPr>
          <w:sz w:val="22"/>
          <w:szCs w:val="22"/>
        </w:rPr>
      </w:pPr>
      <w:r>
        <w:rPr>
          <w:sz w:val="22"/>
          <w:szCs w:val="22"/>
        </w:rPr>
        <w:t>(f)</w:t>
        <w:tab/>
        <w:t>All notices and other communications hereunder shall be in writing and shall be mailed, sent or delivered at or to the address or facsimile number of the respective party or parties set forth on the signature pages hereof, or at such other address or facsimile number as such party or parties shall have designated in a written notice to the other party or parties.</w:t>
      </w:r>
    </w:p>
    <w:p>
      <w:pPr>
        <w:sectPr>
          <w:headerReference w:type="default" r:id="rId2"/>
          <w:footerReference w:type="default" r:id="rId3"/>
          <w:type w:val="nextPage"/>
          <w:pgSz w:w="12240" w:h="15840"/>
          <w:pgMar w:left="1800" w:right="1800" w:gutter="0" w:header="720" w:top="1800" w:footer="720" w:bottom="1440"/>
          <w:pgNumType w:start="1" w:fmt="decimal"/>
          <w:formProt w:val="false"/>
          <w:textDirection w:val="lrTb"/>
        </w:sectPr>
        <w:pStyle w:val="NumContinue"/>
        <w:tabs>
          <w:tab w:val="clear" w:pos="576"/>
          <w:tab w:val="left" w:pos="2160" w:leader="none"/>
        </w:tabs>
        <w:ind w:firstLine="1440" w:end="0"/>
        <w:rPr>
          <w:sz w:val="22"/>
          <w:szCs w:val="22"/>
        </w:rPr>
      </w:pPr>
      <w:r>
        <w:rPr>
          <w:sz w:val="22"/>
          <w:szCs w:val="22"/>
        </w:rPr>
        <w:t>(g)</w:t>
        <w:tab/>
        <w:t xml:space="preserve">Time is of the essence under this </w:t>
      </w:r>
      <w:r>
        <w:rPr>
          <w:strike/>
          <w:sz w:val="22"/>
          <w:szCs w:val="22"/>
        </w:rPr>
        <w:t>Agreement and the PPA Amendments.IN</w:t>
      </w:r>
      <w:r>
        <w:rPr>
          <w:sz w:val="22"/>
          <w:szCs w:val="22"/>
        </w:rPr>
        <w:t xml:space="preserve"> </w:t>
      </w:r>
      <w:r>
        <w:rPr>
          <w:b/>
          <w:bCs/>
          <w:sz w:val="22"/>
          <w:szCs w:val="22"/>
          <w:u w:val="single"/>
        </w:rPr>
        <w:t>Agreement.</w:t>
      </w:r>
    </w:p>
    <w:p>
      <w:pPr>
        <w:pStyle w:val="NumContinue"/>
        <w:widowControl/>
        <w:ind w:firstLine="720" w:end="0"/>
        <w:rPr/>
      </w:pPr>
      <w:r>
        <w:rPr>
          <w:b/>
          <w:bCs/>
          <w:sz w:val="22"/>
          <w:szCs w:val="22"/>
          <w:u w:val="single"/>
        </w:rPr>
        <w:t>IN</w:t>
      </w:r>
      <w:r>
        <w:rPr>
          <w:sz w:val="22"/>
          <w:szCs w:val="22"/>
        </w:rPr>
        <w:t xml:space="preserve"> WITNESS WHEREOF, the parties hereto have caused this Agreement to be executed as of the day and year first written above.</w:t>
      </w:r>
    </w:p>
    <w:p>
      <w:pPr>
        <w:pStyle w:val="NumContinue"/>
        <w:widowControl/>
        <w:spacing w:before="0" w:after="0"/>
        <w:rPr>
          <w:sz w:val="22"/>
          <w:szCs w:val="22"/>
        </w:rPr>
      </w:pPr>
      <w:r>
        <w:rPr>
          <w:sz w:val="22"/>
          <w:szCs w:val="22"/>
        </w:rPr>
        <w:tab/>
        <w:tab/>
        <w:t>PACIFIC GAS AND ELECTRIC COMPANY</w:t>
      </w:r>
    </w:p>
    <w:p>
      <w:pPr>
        <w:pStyle w:val="NumContinue"/>
        <w:widowControl/>
        <w:spacing w:before="0" w:after="0"/>
        <w:ind w:hanging="0" w:end="0"/>
        <w:rPr>
          <w:sz w:val="22"/>
          <w:szCs w:val="22"/>
        </w:rPr>
      </w:pPr>
      <w:r>
        <w:rPr>
          <w:sz w:val="22"/>
          <w:szCs w:val="22"/>
        </w:rPr>
      </w:r>
    </w:p>
    <w:p>
      <w:pPr>
        <w:pStyle w:val="NumContinue"/>
        <w:widowControl/>
        <w:spacing w:before="0" w:after="0"/>
        <w:rPr>
          <w:sz w:val="22"/>
          <w:szCs w:val="22"/>
        </w:rPr>
      </w:pPr>
      <w:r>
        <w:rPr>
          <w:sz w:val="22"/>
          <w:szCs w:val="22"/>
        </w:rPr>
        <w:tab/>
        <w:tab/>
        <w:t>By________________________</w:t>
      </w:r>
    </w:p>
    <w:p>
      <w:pPr>
        <w:pStyle w:val="NumContinue"/>
        <w:widowControl/>
        <w:spacing w:before="0" w:after="0"/>
        <w:rPr>
          <w:sz w:val="22"/>
          <w:szCs w:val="22"/>
        </w:rPr>
      </w:pPr>
      <w:r>
        <w:rPr>
          <w:sz w:val="22"/>
          <w:szCs w:val="22"/>
        </w:rPr>
        <w:tab/>
        <w:tab/>
        <w:t>Its________________________</w:t>
      </w:r>
    </w:p>
    <w:p>
      <w:pPr>
        <w:pStyle w:val="NumContinue"/>
        <w:widowControl/>
        <w:rPr>
          <w:sz w:val="22"/>
          <w:szCs w:val="22"/>
        </w:rPr>
      </w:pPr>
      <w:r>
        <w:rPr>
          <w:sz w:val="22"/>
          <w:szCs w:val="22"/>
        </w:rPr>
      </w:r>
    </w:p>
    <w:p>
      <w:pPr>
        <w:pStyle w:val="NumContinue"/>
        <w:widowControl/>
        <w:rPr>
          <w:sz w:val="22"/>
          <w:szCs w:val="22"/>
        </w:rPr>
      </w:pPr>
      <w:r>
        <w:rPr>
          <w:sz w:val="22"/>
          <w:szCs w:val="22"/>
        </w:rPr>
        <w:tab/>
        <w:tab/>
        <w:tab/>
        <w:tab/>
        <w:t>[address and facsimile number]</w:t>
      </w:r>
    </w:p>
    <w:p>
      <w:pPr>
        <w:pStyle w:val="NumContinue"/>
        <w:widowControl/>
        <w:rPr>
          <w:sz w:val="22"/>
          <w:szCs w:val="22"/>
        </w:rPr>
      </w:pPr>
      <w:r>
        <w:rPr>
          <w:sz w:val="22"/>
          <w:szCs w:val="22"/>
        </w:rPr>
      </w:r>
    </w:p>
    <w:p>
      <w:pPr>
        <w:pStyle w:val="NumContinue"/>
        <w:widowControl/>
        <w:rPr>
          <w:sz w:val="22"/>
          <w:szCs w:val="22"/>
        </w:rPr>
      </w:pPr>
      <w:r>
        <w:rPr>
          <w:sz w:val="22"/>
          <w:szCs w:val="22"/>
        </w:rPr>
        <w:tab/>
        <w:tab/>
        <w:tab/>
        <w:tab/>
        <w:t>[QF SIGNATURE BLOCKS]</w:t>
      </w:r>
    </w:p>
    <w:p>
      <w:pPr>
        <w:sectPr>
          <w:headerReference w:type="default" r:id="rId4"/>
          <w:headerReference w:type="first" r:id="rId5"/>
          <w:footerReference w:type="default" r:id="rId6"/>
          <w:footerReference w:type="first" r:id="rId7"/>
          <w:type w:val="nextPage"/>
          <w:pgSz w:w="12240" w:h="15840"/>
          <w:pgMar w:left="1800" w:right="1800" w:gutter="0" w:header="0" w:top="1800" w:footer="0" w:bottom="1440"/>
          <w:pgNumType w:start="1" w:fmt="decimal"/>
          <w:formProt w:val="false"/>
          <w:textDirection w:val="lrTb"/>
        </w:sectPr>
        <w:pStyle w:val="NumContinue"/>
        <w:widowControl/>
        <w:rPr>
          <w:sz w:val="22"/>
          <w:szCs w:val="22"/>
        </w:rPr>
      </w:pPr>
      <w:r>
        <w:rPr>
          <w:sz w:val="22"/>
          <w:szCs w:val="22"/>
        </w:rPr>
        <w:tab/>
        <w:tab/>
        <w:tab/>
        <w:tab/>
        <w:t>[addresses and facsimile numbers]</w:t>
      </w:r>
    </w:p>
    <w:p>
      <w:pPr>
        <w:pStyle w:val="NumContinue"/>
        <w:widowControl/>
        <w:rPr>
          <w:sz w:val="22"/>
          <w:szCs w:val="22"/>
        </w:rPr>
      </w:pPr>
      <w:r>
        <w:rPr>
          <w:sz w:val="22"/>
          <w:szCs w:val="22"/>
        </w:rPr>
      </w:r>
    </w:p>
    <w:p>
      <w:pPr>
        <w:pStyle w:val="NumContinue"/>
        <w:widowControl/>
        <w:jc w:val="center"/>
        <w:rPr>
          <w:sz w:val="22"/>
          <w:szCs w:val="22"/>
        </w:rPr>
      </w:pPr>
      <w:r>
        <w:rPr>
          <w:sz w:val="22"/>
          <w:szCs w:val="22"/>
        </w:rPr>
        <w:t>EXHIBIT A</w:t>
      </w:r>
    </w:p>
    <w:p>
      <w:pPr>
        <w:sectPr>
          <w:type w:val="nextPage"/>
          <w:pgSz w:w="12240" w:h="15840"/>
          <w:pgMar w:left="1800" w:right="1800" w:gutter="0" w:header="0" w:top="1800" w:footer="0" w:bottom="1440"/>
          <w:pgNumType w:start="1" w:fmt="decimal"/>
          <w:formProt w:val="false"/>
          <w:textDirection w:val="lrTb"/>
        </w:sectPr>
        <w:pStyle w:val="NumContinue"/>
        <w:widowControl/>
        <w:jc w:val="center"/>
        <w:rPr>
          <w:sz w:val="22"/>
          <w:szCs w:val="22"/>
        </w:rPr>
      </w:pPr>
      <w:r>
        <w:rPr>
          <w:sz w:val="22"/>
          <w:szCs w:val="22"/>
        </w:rPr>
        <w:t>DESCRIPTION OF PPAs</w:t>
      </w:r>
    </w:p>
    <w:p>
      <w:pPr>
        <w:pStyle w:val="NumContinue"/>
        <w:widowControl/>
        <w:ind w:hanging="0" w:end="0"/>
        <w:jc w:val="center"/>
        <w:rPr>
          <w:sz w:val="22"/>
          <w:szCs w:val="22"/>
        </w:rPr>
      </w:pPr>
      <w:r>
        <w:rPr>
          <w:sz w:val="22"/>
          <w:szCs w:val="22"/>
        </w:rPr>
        <w:t>EXHIBIT B</w:t>
      </w:r>
    </w:p>
    <w:p>
      <w:pPr>
        <w:pStyle w:val="NumContinue"/>
        <w:widowControl/>
        <w:ind w:hanging="0" w:end="0"/>
        <w:jc w:val="center"/>
        <w:rPr>
          <w:sz w:val="22"/>
          <w:szCs w:val="22"/>
        </w:rPr>
      </w:pPr>
      <w:r>
        <w:rPr>
          <w:sz w:val="22"/>
          <w:szCs w:val="22"/>
        </w:rPr>
        <w:t>FORBEARANCE AMOUNTS (AS OF JANUARY 28, 2001)</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pacing w:before="0" w:after="240"/>
              <w:ind w:hanging="0" w:end="0"/>
              <w:jc w:val="center"/>
              <w:rPr>
                <w:sz w:val="22"/>
                <w:szCs w:val="22"/>
              </w:rPr>
            </w:pPr>
            <w:r>
              <w:rPr>
                <w:sz w:val="22"/>
                <w:szCs w:val="22"/>
              </w:rPr>
              <w:t>QF AND PPA</w:t>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pacing w:before="0" w:after="240"/>
              <w:ind w:hanging="0" w:end="0"/>
              <w:jc w:val="center"/>
              <w:rPr>
                <w:sz w:val="22"/>
                <w:szCs w:val="22"/>
              </w:rPr>
            </w:pPr>
            <w:r>
              <w:rPr>
                <w:sz w:val="22"/>
                <w:szCs w:val="22"/>
              </w:rPr>
              <w:t>APPLICABLE DATES</w:t>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pacing w:before="0" w:after="240"/>
              <w:ind w:hanging="0" w:end="0"/>
              <w:jc w:val="center"/>
              <w:rPr>
                <w:sz w:val="22"/>
                <w:szCs w:val="22"/>
              </w:rPr>
            </w:pPr>
            <w:r>
              <w:rPr>
                <w:sz w:val="22"/>
                <w:szCs w:val="22"/>
              </w:rPr>
              <w:t>AMOUNT DUE UNDER THE PPA FOR THE APPLICABLE DATES</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r>
      <w:tr>
        <w:trPr/>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r>
      <w:tr>
        <w:trPr/>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r>
      <w:tr>
        <w:trPr/>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c>
          <w:tcPr>
            <w:tcW w:w="2952" w:type="dxa"/>
            <w:tcBorders>
              <w:top w:val="single" w:sz="6" w:space="0" w:color="000000"/>
              <w:start w:val="single" w:sz="6" w:space="0" w:color="000000"/>
              <w:bottom w:val="single" w:sz="6" w:space="0" w:color="000000"/>
              <w:end w:val="single" w:sz="6" w:space="0" w:color="000000"/>
            </w:tcBorders>
          </w:tcPr>
          <w:p>
            <w:pPr>
              <w:pStyle w:val="NumContinue"/>
              <w:widowControl/>
              <w:snapToGrid w:val="false"/>
              <w:spacing w:before="0" w:after="240"/>
              <w:ind w:hanging="0" w:end="0"/>
              <w:jc w:val="center"/>
              <w:rPr>
                <w:sz w:val="22"/>
                <w:szCs w:val="22"/>
              </w:rPr>
            </w:pPr>
            <w:r>
              <w:rPr>
                <w:sz w:val="22"/>
                <w:szCs w:val="22"/>
              </w:rPr>
            </w:r>
          </w:p>
        </w:tc>
      </w:tr>
    </w:tbl>
    <w:p>
      <w:pPr>
        <w:pStyle w:val="NumContinue"/>
        <w:widowControl/>
        <w:ind w:hanging="0" w:end="0"/>
        <w:jc w:val="center"/>
        <w:rPr>
          <w:sz w:val="22"/>
          <w:szCs w:val="22"/>
        </w:rPr>
      </w:pPr>
      <w:r>
        <w:rPr>
          <w:sz w:val="22"/>
          <w:szCs w:val="22"/>
        </w:rPr>
      </w:r>
    </w:p>
    <w:p>
      <w:pPr>
        <w:pStyle w:val="NumContinue"/>
        <w:widowControl/>
        <w:ind w:hanging="0" w:end="0"/>
        <w:jc w:val="center"/>
        <w:rPr>
          <w:sz w:val="22"/>
          <w:szCs w:val="22"/>
        </w:rPr>
      </w:pPr>
      <w:r>
        <w:rPr>
          <w:sz w:val="22"/>
          <w:szCs w:val="22"/>
        </w:rPr>
      </w:r>
    </w:p>
    <w:p>
      <w:pPr>
        <w:sectPr>
          <w:type w:val="nextPage"/>
          <w:pgSz w:w="12240" w:h="15840"/>
          <w:pgMar w:left="1800" w:right="1800" w:gutter="0" w:header="0" w:top="1800" w:footer="0" w:bottom="1440"/>
          <w:pgNumType w:start="1" w:fmt="decimal"/>
          <w:formProt w:val="false"/>
          <w:textDirection w:val="lrTb"/>
        </w:sectPr>
        <w:pStyle w:val="NumContinue"/>
        <w:widowControl/>
        <w:ind w:hanging="0" w:end="0"/>
        <w:jc w:val="center"/>
        <w:rPr>
          <w:sz w:val="22"/>
          <w:szCs w:val="22"/>
        </w:rPr>
      </w:pPr>
      <w:r>
        <w:rPr>
          <w:sz w:val="22"/>
          <w:szCs w:val="22"/>
        </w:rPr>
      </w:r>
    </w:p>
    <w:p>
      <w:pPr>
        <w:pStyle w:val="NumContinue"/>
        <w:widowControl/>
        <w:ind w:hanging="0" w:end="0"/>
        <w:jc w:val="center"/>
        <w:rPr>
          <w:sz w:val="22"/>
          <w:szCs w:val="22"/>
        </w:rPr>
      </w:pPr>
      <w:r>
        <w:rPr>
          <w:sz w:val="22"/>
          <w:szCs w:val="22"/>
        </w:rPr>
        <w:t>EXHIBIT C</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Washington DC Summit on California Energy Crises</w:t>
      </w:r>
    </w:p>
    <w:p>
      <w:pPr>
        <w:pStyle w:val="Normal"/>
        <w:jc w:val="center"/>
        <w:rPr>
          <w:sz w:val="22"/>
          <w:szCs w:val="22"/>
        </w:rPr>
      </w:pPr>
      <w:r>
        <w:rPr>
          <w:sz w:val="22"/>
          <w:szCs w:val="22"/>
        </w:rPr>
        <w:t>PG&amp;E and QF Parties Blueprint for Restructuring of Energy Pricing</w:t>
      </w:r>
    </w:p>
    <w:p>
      <w:pPr>
        <w:pStyle w:val="Normal"/>
        <w:jc w:val="center"/>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COMPARISON OF HEADERS ------------------</w:t>
      </w:r>
    </w:p>
    <w:p>
      <w:pPr>
        <w:pStyle w:val="Normal"/>
        <w:rPr>
          <w:sz w:val="22"/>
          <w:szCs w:val="22"/>
        </w:rPr>
      </w:pPr>
      <w:r>
        <w:rPr>
          <w:sz w:val="22"/>
          <w:szCs w:val="22"/>
        </w:rPr>
      </w:r>
    </w:p>
    <w:p>
      <w:pPr>
        <w:pStyle w:val="Normal"/>
        <w:rPr>
          <w:sz w:val="22"/>
          <w:szCs w:val="22"/>
        </w:rPr>
      </w:pPr>
      <w:r>
        <w:rPr>
          <w:sz w:val="22"/>
          <w:szCs w:val="22"/>
        </w:rPr>
        <w:t>-HEADER 1-</w:t>
      </w:r>
    </w:p>
    <w:p>
      <w:pPr>
        <w:pStyle w:val="Normal"/>
        <w:rPr>
          <w:sz w:val="22"/>
          <w:szCs w:val="22"/>
        </w:rPr>
      </w:pPr>
      <w:r>
        <w:rPr>
          <w:sz w:val="22"/>
          <w:szCs w:val="22"/>
        </w:rPr>
        <w:t>FORBEARANCE AGREEMENT</w:t>
      </w:r>
    </w:p>
    <w:p>
      <w:pPr>
        <w:pStyle w:val="Normal"/>
        <w:rPr>
          <w:sz w:val="22"/>
          <w:szCs w:val="22"/>
        </w:rPr>
      </w:pPr>
      <w:r>
        <w:rPr>
          <w:sz w:val="22"/>
          <w:szCs w:val="22"/>
        </w:rPr>
        <w:t xml:space="preserve">REVISED DRAFT PRESENTED BY </w:t>
      </w:r>
      <w:r>
        <w:rPr>
          <w:strike/>
          <w:sz w:val="22"/>
          <w:szCs w:val="22"/>
        </w:rPr>
        <w:t>WHITE &amp; CASE ON MONDAY,</w:t>
      </w:r>
      <w:r>
        <w:rPr>
          <w:sz w:val="22"/>
          <w:szCs w:val="22"/>
        </w:rPr>
        <w:t xml:space="preserve"> </w:t>
      </w:r>
      <w:r>
        <w:rPr>
          <w:b/>
          <w:bCs/>
          <w:sz w:val="22"/>
          <w:szCs w:val="22"/>
          <w:u w:val="single"/>
        </w:rPr>
        <w:t>QF PARTIES ON TUESDAY,</w:t>
      </w:r>
      <w:r>
        <w:rPr>
          <w:sz w:val="22"/>
          <w:szCs w:val="22"/>
        </w:rPr>
        <w:t xml:space="preserve"> JANUARY </w:t>
      </w:r>
      <w:r>
        <w:rPr>
          <w:strike/>
          <w:sz w:val="22"/>
          <w:szCs w:val="22"/>
        </w:rPr>
        <w:t>22</w:t>
      </w:r>
      <w:r>
        <w:rPr>
          <w:sz w:val="22"/>
          <w:szCs w:val="22"/>
        </w:rPr>
        <w:t xml:space="preserve"> </w:t>
      </w:r>
      <w:r>
        <w:rPr>
          <w:b/>
          <w:bCs/>
          <w:sz w:val="22"/>
          <w:szCs w:val="22"/>
          <w:u w:val="single"/>
        </w:rPr>
        <w:t>24</w:t>
      </w:r>
    </w:p>
    <w:p>
      <w:pPr>
        <w:pStyle w:val="Normal"/>
        <w:rPr>
          <w:sz w:val="22"/>
          <w:szCs w:val="22"/>
        </w:rPr>
      </w:pPr>
      <w:r>
        <w:rPr>
          <w:sz w:val="22"/>
          <w:szCs w:val="22"/>
        </w:rPr>
        <w:t>For Discussion Purposes Only</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-HEADER 2-</w:t>
      </w:r>
    </w:p>
    <w:p>
      <w:pPr>
        <w:pStyle w:val="Normal"/>
        <w:rPr>
          <w:sz w:val="22"/>
          <w:szCs w:val="22"/>
        </w:rPr>
      </w:pPr>
      <w:r>
        <w:rPr>
          <w:sz w:val="22"/>
          <w:szCs w:val="22"/>
        </w:rPr>
        <w:t>Header Discontinued</w:t>
      </w:r>
    </w:p>
    <w:p>
      <w:pPr>
        <w:pStyle w:val="Normal"/>
        <w:rPr>
          <w:sz w:val="22"/>
          <w:szCs w:val="22"/>
        </w:rPr>
      </w:pPr>
      <w:r>
        <w:rPr>
          <w:sz w:val="22"/>
          <w:szCs w:val="22"/>
        </w:rPr>
      </w:r>
    </w:p>
    <w:p>
      <w:pPr>
        <w:pStyle w:val="Normal"/>
        <w:rPr>
          <w:sz w:val="22"/>
          <w:szCs w:val="22"/>
        </w:rPr>
      </w:pPr>
      <w:r>
        <w:rPr>
          <w:sz w:val="22"/>
          <w:szCs w:val="22"/>
        </w:rPr>
        <w:t>-HEADER 3-</w:t>
      </w:r>
    </w:p>
    <w:p>
      <w:pPr>
        <w:pStyle w:val="Normal"/>
        <w:rPr>
          <w:sz w:val="22"/>
          <w:szCs w:val="22"/>
        </w:rPr>
      </w:pPr>
      <w:r>
        <w:rPr>
          <w:sz w:val="22"/>
          <w:szCs w:val="22"/>
        </w:rPr>
        <w:t>FORBEARANCE AGREEMENT</w:t>
      </w:r>
    </w:p>
    <w:p>
      <w:pPr>
        <w:pStyle w:val="Normal"/>
        <w:rPr>
          <w:sz w:val="22"/>
          <w:szCs w:val="22"/>
        </w:rPr>
      </w:pPr>
      <w:r>
        <w:rPr>
          <w:sz w:val="22"/>
          <w:szCs w:val="22"/>
        </w:rPr>
        <w:t xml:space="preserve">REVISED DRAFT PRESENTED BY </w:t>
      </w:r>
      <w:r>
        <w:rPr>
          <w:strike/>
          <w:sz w:val="22"/>
          <w:szCs w:val="22"/>
        </w:rPr>
        <w:t>WHITE &amp; CASE ON MONDAY,</w:t>
      </w:r>
      <w:r>
        <w:rPr>
          <w:sz w:val="22"/>
          <w:szCs w:val="22"/>
        </w:rPr>
        <w:t xml:space="preserve"> </w:t>
      </w:r>
      <w:r>
        <w:rPr>
          <w:b/>
          <w:bCs/>
          <w:sz w:val="22"/>
          <w:szCs w:val="22"/>
          <w:u w:val="single"/>
        </w:rPr>
        <w:t>QF PARTIES ON TUESDAY,</w:t>
      </w:r>
      <w:r>
        <w:rPr>
          <w:sz w:val="22"/>
          <w:szCs w:val="22"/>
        </w:rPr>
        <w:t xml:space="preserve"> JANUARY </w:t>
      </w:r>
      <w:r>
        <w:rPr>
          <w:strike/>
          <w:sz w:val="22"/>
          <w:szCs w:val="22"/>
        </w:rPr>
        <w:t>22</w:t>
      </w:r>
      <w:r>
        <w:rPr>
          <w:sz w:val="22"/>
          <w:szCs w:val="22"/>
        </w:rPr>
        <w:t xml:space="preserve"> </w:t>
      </w:r>
      <w:r>
        <w:rPr>
          <w:b/>
          <w:bCs/>
          <w:sz w:val="22"/>
          <w:szCs w:val="22"/>
          <w:u w:val="single"/>
        </w:rPr>
        <w:t>24</w:t>
      </w:r>
    </w:p>
    <w:p>
      <w:pPr>
        <w:pStyle w:val="Normal"/>
        <w:rPr>
          <w:sz w:val="22"/>
          <w:szCs w:val="22"/>
        </w:rPr>
      </w:pPr>
      <w:r>
        <w:rPr>
          <w:sz w:val="22"/>
          <w:szCs w:val="22"/>
        </w:rPr>
        <w:t>For Discussion Purposes Only</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-HEADER 4-</w:t>
      </w:r>
    </w:p>
    <w:p>
      <w:pPr>
        <w:pStyle w:val="Normal"/>
        <w:rPr>
          <w:sz w:val="22"/>
          <w:szCs w:val="22"/>
        </w:rPr>
      </w:pPr>
      <w:r>
        <w:rPr>
          <w:sz w:val="22"/>
          <w:szCs w:val="22"/>
        </w:rPr>
        <w:t>Header Discontinued</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COMPARISON OF FOOTERS ------------------</w:t>
      </w:r>
    </w:p>
    <w:p>
      <w:pPr>
        <w:pStyle w:val="Normal"/>
        <w:rPr>
          <w:sz w:val="22"/>
          <w:szCs w:val="22"/>
        </w:rPr>
      </w:pPr>
      <w:r>
        <w:rPr>
          <w:sz w:val="22"/>
          <w:szCs w:val="22"/>
        </w:rPr>
      </w:r>
    </w:p>
    <w:p>
      <w:pPr>
        <w:pStyle w:val="Normal"/>
        <w:rPr>
          <w:sz w:val="22"/>
          <w:szCs w:val="22"/>
        </w:rPr>
      </w:pPr>
      <w:r>
        <w:rPr>
          <w:sz w:val="22"/>
          <w:szCs w:val="22"/>
        </w:rPr>
        <w:t>-FOOTER 1-</w:t>
      </w:r>
    </w:p>
    <w:p>
      <w:pPr>
        <w:pStyle w:val="Normal"/>
        <w:rPr>
          <w:sz w:val="22"/>
          <w:szCs w:val="22"/>
        </w:rPr>
      </w:pPr>
      <w:r>
        <w:rPr>
          <w:sz w:val="22"/>
          <w:szCs w:val="22"/>
        </w:rPr>
        <w:t>1</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-FOOTER 2-</w:t>
      </w:r>
    </w:p>
    <w:p>
      <w:pPr>
        <w:pStyle w:val="Normal"/>
        <w:rPr>
          <w:sz w:val="22"/>
          <w:szCs w:val="22"/>
        </w:rPr>
      </w:pPr>
      <w:r>
        <w:rPr>
          <w:sz w:val="22"/>
          <w:szCs w:val="22"/>
        </w:rPr>
        <w:t>1</w:t>
      </w:r>
    </w:p>
    <w:p>
      <w:pPr>
        <w:pStyle w:val="Normal"/>
        <w:rPr>
          <w:sz w:val="22"/>
          <w:szCs w:val="22"/>
        </w:rPr>
      </w:pPr>
      <w:r>
        <w:rPr>
          <w:sz w:val="22"/>
          <w:szCs w:val="22"/>
        </w:rPr>
        <w:t xml:space="preserve">-- </w:t>
      </w:r>
    </w:p>
    <w:p>
      <w:pPr>
        <w:pStyle w:val="Normal"/>
        <w:rPr/>
      </w:pPr>
      <w:r>
        <w:rPr>
          <w:sz w:val="22"/>
          <w:szCs w:val="22"/>
        </w:rPr>
        <w:t xml:space="preserve">|draft forbearance agreement/sf-1034697 </w:t>
      </w:r>
      <w:r>
        <w:rPr>
          <w:strike/>
          <w:sz w:val="22"/>
          <w:szCs w:val="22"/>
        </w:rPr>
        <w:t>v8| 1/22/01 7:05</w:t>
      </w:r>
      <w:r>
        <w:rPr>
          <w:sz w:val="22"/>
          <w:szCs w:val="22"/>
        </w:rPr>
        <w:t xml:space="preserve"> </w:t>
      </w:r>
      <w:r>
        <w:rPr>
          <w:b/>
          <w:bCs/>
          <w:sz w:val="22"/>
          <w:szCs w:val="22"/>
          <w:u w:val="single"/>
        </w:rPr>
        <w:t>v10| 1/24/01 4:38</w:t>
      </w:r>
      <w:r>
        <w:rPr>
          <w:sz w:val="22"/>
          <w:szCs w:val="22"/>
        </w:rPr>
        <w:t xml:space="preserve"> PM||</w:t>
      </w:r>
    </w:p>
    <w:p>
      <w:pPr>
        <w:pStyle w:val="Normal"/>
        <w:rPr>
          <w:sz w:val="22"/>
          <w:szCs w:val="22"/>
        </w:rPr>
      </w:pPr>
      <w:r>
        <w:rPr>
          <w:sz w:val="22"/>
          <w:szCs w:val="22"/>
        </w:rPr>
      </w:r>
    </w:p>
    <w:p>
      <w:pPr>
        <w:pStyle w:val="Normal"/>
        <w:rPr>
          <w:sz w:val="22"/>
          <w:szCs w:val="22"/>
        </w:rPr>
      </w:pPr>
      <w:r>
        <w:rPr>
          <w:sz w:val="22"/>
          <w:szCs w:val="22"/>
        </w:rPr>
        <w:t>-FOOTER 3-</w:t>
      </w:r>
    </w:p>
    <w:p>
      <w:pPr>
        <w:pStyle w:val="Normal"/>
        <w:rPr>
          <w:sz w:val="22"/>
          <w:szCs w:val="22"/>
        </w:rPr>
      </w:pPr>
      <w:r>
        <w:rPr>
          <w:sz w:val="22"/>
          <w:szCs w:val="22"/>
        </w:rPr>
        <w:t xml:space="preserve">WD 011701/1-1419901/120/890811/v1 -1- </w:t>
      </w:r>
    </w:p>
    <w:p>
      <w:pPr>
        <w:pStyle w:val="Normal"/>
        <w:rPr/>
      </w:pPr>
      <w:r>
        <w:rPr>
          <w:sz w:val="22"/>
          <w:szCs w:val="22"/>
        </w:rPr>
        <w:t xml:space="preserve">|draft forbearance agreement/sf-1034697 v1| </w:t>
      </w:r>
      <w:r>
        <w:rPr>
          <w:strike/>
          <w:sz w:val="22"/>
          <w:szCs w:val="22"/>
        </w:rPr>
        <w:t>1/22/01 7:05</w:t>
      </w:r>
      <w:r>
        <w:rPr>
          <w:sz w:val="22"/>
          <w:szCs w:val="22"/>
        </w:rPr>
        <w:t xml:space="preserve"> </w:t>
      </w:r>
      <w:r>
        <w:rPr>
          <w:b/>
          <w:bCs/>
          <w:sz w:val="22"/>
          <w:szCs w:val="22"/>
          <w:u w:val="single"/>
        </w:rPr>
        <w:t>1/24/01 4:38</w:t>
      </w:r>
      <w:r>
        <w:rPr>
          <w:sz w:val="22"/>
          <w:szCs w:val="22"/>
        </w:rPr>
        <w:t xml:space="preserve"> PM||</w:t>
      </w:r>
    </w:p>
    <w:p>
      <w:pPr>
        <w:pStyle w:val="Normal"/>
        <w:rPr>
          <w:sz w:val="22"/>
          <w:szCs w:val="22"/>
        </w:rPr>
      </w:pPr>
      <w:r>
        <w:rPr>
          <w:sz w:val="22"/>
          <w:szCs w:val="22"/>
        </w:rPr>
        <w:t>F</w:t>
      </w:r>
    </w:p>
    <w:p>
      <w:pPr>
        <w:pStyle w:val="Normal"/>
        <w:rPr>
          <w:sz w:val="22"/>
          <w:szCs w:val="22"/>
        </w:rPr>
      </w:pPr>
      <w:r>
        <w:rPr>
          <w:sz w:val="22"/>
          <w:szCs w:val="22"/>
        </w:rPr>
      </w:r>
    </w:p>
    <w:p>
      <w:pPr>
        <w:pStyle w:val="Normal"/>
        <w:rPr>
          <w:sz w:val="22"/>
          <w:szCs w:val="22"/>
        </w:rPr>
      </w:pPr>
      <w:r>
        <w:rPr>
          <w:sz w:val="22"/>
          <w:szCs w:val="22"/>
        </w:rPr>
        <w:t>-FOOTER 4-</w:t>
      </w:r>
    </w:p>
    <w:p>
      <w:pPr>
        <w:pStyle w:val="Normal"/>
        <w:rPr>
          <w:sz w:val="22"/>
          <w:szCs w:val="22"/>
        </w:rPr>
      </w:pPr>
      <w:r>
        <w:rPr>
          <w:sz w:val="22"/>
          <w:szCs w:val="22"/>
        </w:rPr>
        <w:t>Footer Discontinued</w:t>
      </w:r>
    </w:p>
    <w:p>
      <w:pPr>
        <w:pStyle w:val="Normal"/>
        <w:rPr>
          <w:sz w:val="22"/>
          <w:szCs w:val="22"/>
        </w:rPr>
      </w:pPr>
      <w:r>
        <w:rPr>
          <w:sz w:val="22"/>
          <w:szCs w:val="22"/>
        </w:rPr>
      </w:r>
    </w:p>
    <w:p>
      <w:pPr>
        <w:pStyle w:val="Normal"/>
        <w:rPr>
          <w:sz w:val="22"/>
          <w:szCs w:val="22"/>
        </w:rPr>
      </w:pPr>
      <w:r>
        <w:rPr>
          <w:sz w:val="22"/>
          <w:szCs w:val="22"/>
        </w:rPr>
        <w:t>-FOOTER 5-</w:t>
      </w:r>
    </w:p>
    <w:p>
      <w:pPr>
        <w:pStyle w:val="Normal"/>
        <w:rPr>
          <w:sz w:val="22"/>
          <w:szCs w:val="22"/>
        </w:rPr>
      </w:pPr>
      <w:r>
        <w:rPr>
          <w:sz w:val="22"/>
          <w:szCs w:val="22"/>
        </w:rPr>
        <w:t>1</w:t>
      </w:r>
    </w:p>
    <w:p>
      <w:pPr>
        <w:pStyle w:val="Normal"/>
        <w:rPr>
          <w:sz w:val="22"/>
          <w:szCs w:val="22"/>
        </w:rPr>
      </w:pPr>
      <w:r>
        <w:rPr>
          <w:sz w:val="22"/>
          <w:szCs w:val="22"/>
        </w:rPr>
        <w:t xml:space="preserve">-- </w:t>
      </w:r>
    </w:p>
    <w:p>
      <w:pPr>
        <w:pStyle w:val="Normal"/>
        <w:rPr/>
      </w:pPr>
      <w:r>
        <w:rPr>
          <w:sz w:val="22"/>
          <w:szCs w:val="22"/>
        </w:rPr>
        <w:t xml:space="preserve">|draft forbearance agreement/sf-1034697 </w:t>
      </w:r>
      <w:r>
        <w:rPr>
          <w:strike/>
          <w:sz w:val="22"/>
          <w:szCs w:val="22"/>
        </w:rPr>
        <w:t>v8| 1/22/01 7:05</w:t>
      </w:r>
      <w:r>
        <w:rPr>
          <w:sz w:val="22"/>
          <w:szCs w:val="22"/>
        </w:rPr>
        <w:t xml:space="preserve"> </w:t>
      </w:r>
      <w:r>
        <w:rPr>
          <w:b/>
          <w:bCs/>
          <w:sz w:val="22"/>
          <w:szCs w:val="22"/>
          <w:u w:val="single"/>
        </w:rPr>
        <w:t>v10]| 1/24/01 4:38</w:t>
      </w:r>
      <w:r>
        <w:rPr>
          <w:sz w:val="22"/>
          <w:szCs w:val="22"/>
        </w:rPr>
        <w:t xml:space="preserve"> PM||</w:t>
      </w:r>
    </w:p>
    <w:p>
      <w:pPr>
        <w:pStyle w:val="Normal"/>
        <w:rPr>
          <w:sz w:val="22"/>
          <w:szCs w:val="22"/>
        </w:rPr>
      </w:pPr>
      <w:r>
        <w:rPr>
          <w:sz w:val="22"/>
          <w:szCs w:val="22"/>
        </w:rPr>
      </w:r>
    </w:p>
    <w:p>
      <w:pPr>
        <w:pStyle w:val="Normal"/>
        <w:rPr>
          <w:sz w:val="22"/>
          <w:szCs w:val="22"/>
        </w:rPr>
      </w:pPr>
      <w:r>
        <w:rPr>
          <w:sz w:val="22"/>
          <w:szCs w:val="22"/>
        </w:rPr>
        <w:t>-FOOTER 6-</w:t>
      </w:r>
    </w:p>
    <w:p>
      <w:pPr>
        <w:pStyle w:val="Normal"/>
        <w:rPr>
          <w:sz w:val="22"/>
          <w:szCs w:val="22"/>
        </w:rPr>
      </w:pPr>
      <w:r>
        <w:rPr>
          <w:sz w:val="22"/>
          <w:szCs w:val="22"/>
        </w:rPr>
        <w:t xml:space="preserve">WD 011701/1-1419901/120/890811/v1 -1- </w:t>
      </w:r>
    </w:p>
    <w:p>
      <w:pPr>
        <w:pStyle w:val="Normal"/>
        <w:rPr/>
      </w:pPr>
      <w:r>
        <w:rPr>
          <w:sz w:val="22"/>
          <w:szCs w:val="22"/>
        </w:rPr>
        <w:t xml:space="preserve">|draft forbearance agreement/sf-1034697 v1| </w:t>
      </w:r>
      <w:r>
        <w:rPr>
          <w:strike/>
          <w:sz w:val="22"/>
          <w:szCs w:val="22"/>
        </w:rPr>
        <w:t>1/22/01 7:05</w:t>
      </w:r>
      <w:r>
        <w:rPr>
          <w:sz w:val="22"/>
          <w:szCs w:val="22"/>
        </w:rPr>
        <w:t xml:space="preserve"> </w:t>
      </w:r>
      <w:r>
        <w:rPr>
          <w:b/>
          <w:bCs/>
          <w:sz w:val="22"/>
          <w:szCs w:val="22"/>
          <w:u w:val="single"/>
        </w:rPr>
        <w:t>1/24/01 4:38</w:t>
      </w:r>
      <w:r>
        <w:rPr>
          <w:sz w:val="22"/>
          <w:szCs w:val="22"/>
        </w:rPr>
        <w:t xml:space="preserve"> PM||</w:t>
      </w:r>
    </w:p>
    <w:p>
      <w:pPr>
        <w:pStyle w:val="Normal"/>
        <w:rPr>
          <w:sz w:val="22"/>
          <w:szCs w:val="22"/>
        </w:rPr>
      </w:pPr>
      <w:r>
        <w:rPr>
          <w:sz w:val="22"/>
          <w:szCs w:val="22"/>
        </w:rPr>
        <w:t>E</w:t>
      </w:r>
    </w:p>
    <w:sectPr>
      <w:headerReference w:type="default" r:id="rId8"/>
      <w:footerReference w:type="default" r:id="rId9"/>
      <w:type w:val="nextPage"/>
      <w:pgSz w:w="12240" w:h="15840"/>
      <w:pgMar w:left="1800" w:right="1800" w:gutter="0" w:header="720" w:top="180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t>--</w:t>
      <w:tab/>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spacing w:lineRule="atLeast" w:line="1"/>
      <w:rPr/>
    </w:pPr>
    <w:r>
      <w:rPr>
        <w:vanish/>
        <w:sz w:val="20"/>
        <w:szCs w:val="20"/>
      </w:rPr>
      <w:t>|</w:t>
    </w:r>
    <w:r>
      <w:rPr>
        <w:sz w:val="20"/>
        <w:szCs w:val="20"/>
      </w:rPr>
      <w:t>draft forbearance agreement/sf-1034697 v10</w:t>
    </w:r>
    <w:r>
      <w:rPr>
        <w:vanish/>
        <w:sz w:val="20"/>
        <w:szCs w:val="20"/>
      </w:rPr>
      <w:t>|</w:t>
    </w:r>
    <w:r>
      <w:rPr>
        <w:sz w:val="20"/>
        <w:szCs w:val="20"/>
      </w:rPr>
      <w:tab/>
      <w:tab/>
    </w:r>
    <w:r>
      <w:rPr>
        <w:sz w:val="20"/>
        <w:szCs w:val="20"/>
      </w:rPr>
      <w:fldChar w:fldCharType="begin" w:fldLock="true"/>
    </w:r>
    <w:r>
      <w:rPr>
        <w:sz w:val="20"/>
        <w:szCs w:val="20"/>
      </w:rPr>
      <w:instrText xml:space="preserve"> DATE \@"M\/d\/yy\ H:mm\ AM/PM" </w:instrText>
    </w:r>
    <w:r>
      <w:rPr>
        <w:sz w:val="20"/>
        <w:szCs w:val="20"/>
      </w:rPr>
      <w:fldChar w:fldCharType="separate"/>
    </w:r>
    <w:r>
      <w:rPr>
        <w:sz w:val="20"/>
        <w:szCs w:val="20"/>
      </w:rPr>
      <w:t>1/24/01 4:38 PM</w:t>
    </w:r>
    <w:r>
      <w:rPr>
        <w:sz w:val="20"/>
        <w:szCs w:val="20"/>
      </w:rPr>
      <w:fldChar w:fldCharType="end"/>
    </w:r>
    <w:r>
      <w:rPr>
        <w:vanish/>
        <w:sz w:val="20"/>
        <w:szCs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t>--</w:t>
      <w:tab/>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spacing w:lineRule="atLeast" w:line="1"/>
      <w:rPr/>
    </w:pPr>
    <w:r>
      <w:rPr>
        <w:vanish/>
        <w:sz w:val="20"/>
        <w:szCs w:val="20"/>
      </w:rPr>
      <w:t>|</w:t>
    </w:r>
    <w:r>
      <w:rPr>
        <w:sz w:val="20"/>
        <w:szCs w:val="20"/>
      </w:rPr>
      <w:t>draft forbearance agreement/sf-1034697 v10]</w:t>
    </w:r>
    <w:r>
      <w:rPr>
        <w:vanish/>
        <w:sz w:val="20"/>
        <w:szCs w:val="20"/>
      </w:rPr>
      <w:t>|</w:t>
    </w:r>
    <w:r>
      <w:rPr>
        <w:sz w:val="20"/>
        <w:szCs w:val="20"/>
      </w:rPr>
      <w:tab/>
      <w:tab/>
    </w:r>
    <w:r>
      <w:rPr>
        <w:sz w:val="20"/>
        <w:szCs w:val="20"/>
      </w:rPr>
      <w:fldChar w:fldCharType="begin" w:fldLock="true"/>
    </w:r>
    <w:r>
      <w:rPr>
        <w:sz w:val="20"/>
        <w:szCs w:val="20"/>
      </w:rPr>
      <w:instrText xml:space="preserve"> DATE \@"M\/d\/yy\ H:mm\ AM/PM" </w:instrText>
    </w:r>
    <w:r>
      <w:rPr>
        <w:sz w:val="20"/>
        <w:szCs w:val="20"/>
      </w:rPr>
      <w:fldChar w:fldCharType="separate"/>
    </w:r>
    <w:r>
      <w:rPr>
        <w:sz w:val="20"/>
        <w:szCs w:val="20"/>
      </w:rPr>
      <w:t>1/24/01 4:38 PM</w:t>
    </w:r>
    <w:r>
      <w:rPr>
        <w:sz w:val="20"/>
        <w:szCs w:val="20"/>
      </w:rPr>
      <w:fldChar w:fldCharType="end"/>
    </w:r>
    <w:r>
      <w:rPr>
        <w:vanish/>
        <w:sz w:val="20"/>
        <w:szCs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widowControl/>
      <w:spacing w:before="0" w:after="0"/>
      <w:ind w:hanging="0" w:end="0"/>
      <w:rPr>
        <w:b/>
        <w:bCs/>
        <w:sz w:val="16"/>
        <w:szCs w:val="16"/>
      </w:rPr>
    </w:pPr>
    <w:r>
      <w:rPr>
        <w:b/>
        <w:bCs/>
        <w:sz w:val="16"/>
        <w:szCs w:val="16"/>
      </w:rPr>
      <w:t>FORBEARANCE AGREEMENT</w:t>
    </w:r>
  </w:p>
  <w:p>
    <w:pPr>
      <w:pStyle w:val="Header"/>
      <w:rPr>
        <w:rFonts w:ascii="Times New Roman Bold" w:hAnsi="Times New Roman Bold" w:eastAsia="Times New Roman Bold" w:cs="Times New Roman Bold"/>
        <w:b/>
        <w:bCs/>
        <w:i/>
        <w:i/>
        <w:iCs/>
        <w:sz w:val="16"/>
        <w:szCs w:val="16"/>
        <w:u w:val="single"/>
      </w:rPr>
    </w:pPr>
    <w:r>
      <w:rPr>
        <w:rFonts w:eastAsia="Times New Roman Bold" w:cs="Times New Roman Bold" w:ascii="Times New Roman Bold" w:hAnsi="Times New Roman Bold"/>
        <w:b/>
        <w:bCs/>
        <w:i/>
        <w:iCs/>
        <w:sz w:val="16"/>
        <w:szCs w:val="16"/>
        <w:u w:val="single"/>
      </w:rPr>
      <w:t>REVISED DRAFT PRESENTED BY QF PARTIES ON TUESDAY, JANUARY 24</w:t>
    </w:r>
  </w:p>
  <w:p>
    <w:pPr>
      <w:pStyle w:val="Header"/>
      <w:rPr>
        <w:b/>
        <w:bCs/>
        <w:i/>
        <w:i/>
        <w:iCs/>
        <w:sz w:val="16"/>
        <w:szCs w:val="16"/>
        <w:u w:val="single"/>
      </w:rPr>
    </w:pPr>
    <w:r>
      <w:rPr>
        <w:b/>
        <w:bCs/>
        <w:i/>
        <w:iCs/>
        <w:sz w:val="16"/>
        <w:szCs w:val="16"/>
        <w:u w:val="single"/>
      </w:rPr>
      <w:t>For Discussion Purposes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widowControl/>
      <w:spacing w:before="0" w:after="0"/>
      <w:ind w:hanging="0" w:end="0"/>
      <w:rPr>
        <w:b/>
        <w:bCs/>
        <w:sz w:val="16"/>
        <w:szCs w:val="16"/>
      </w:rPr>
    </w:pPr>
    <w:r>
      <w:rPr>
        <w:b/>
        <w:bCs/>
        <w:sz w:val="16"/>
        <w:szCs w:val="16"/>
      </w:rPr>
      <w:t>FORBEARANCE AGREEMENT</w:t>
    </w:r>
  </w:p>
  <w:p>
    <w:pPr>
      <w:pStyle w:val="Header"/>
      <w:rPr>
        <w:rFonts w:ascii="Times New Roman Bold" w:hAnsi="Times New Roman Bold" w:eastAsia="Times New Roman Bold" w:cs="Times New Roman Bold"/>
        <w:b/>
        <w:bCs/>
        <w:i/>
        <w:i/>
        <w:iCs/>
        <w:sz w:val="16"/>
        <w:szCs w:val="16"/>
        <w:u w:val="single"/>
      </w:rPr>
    </w:pPr>
    <w:r>
      <w:rPr>
        <w:rFonts w:eastAsia="Times New Roman Bold" w:cs="Times New Roman Bold" w:ascii="Times New Roman Bold" w:hAnsi="Times New Roman Bold"/>
        <w:b/>
        <w:bCs/>
        <w:i/>
        <w:iCs/>
        <w:sz w:val="16"/>
        <w:szCs w:val="16"/>
        <w:u w:val="single"/>
      </w:rPr>
      <w:t>REVISED DRAFT PRESENTED BY QF PARTIES ON TUESDAY, JANUARY 24</w:t>
    </w:r>
  </w:p>
  <w:p>
    <w:pPr>
      <w:pStyle w:val="Header"/>
      <w:rPr>
        <w:b/>
        <w:bCs/>
        <w:i/>
        <w:i/>
        <w:iCs/>
        <w:sz w:val="16"/>
        <w:szCs w:val="16"/>
        <w:u w:val="single"/>
      </w:rPr>
    </w:pPr>
    <w:r>
      <w:rPr>
        <w:b/>
        <w:bCs/>
        <w:i/>
        <w:iCs/>
        <w:sz w:val="16"/>
        <w:szCs w:val="16"/>
        <w:u w:val="single"/>
      </w:rPr>
      <w:t>For Discussion Purposes Only</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576"/>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zzmpTrailerItem">
    <w:name w:val="zzmpTrailerItem"/>
    <w:basedOn w:val="DefaultParagraphFont"/>
    <w:qFormat/>
    <w:rPr>
      <w:sz w:val="16"/>
      <w:szCs w:val="16"/>
    </w:rPr>
  </w:style>
  <w:style w:type="character" w:styleId="zzmpTCEntryL1">
    <w:name w:val="zzmpTCEntryL1"/>
    <w:basedOn w:val="DefaultParagraphFont"/>
    <w:qFormat/>
    <w:rPr>
      <w:color w:val="0000FF"/>
      <w:sz w:val="20"/>
      <w:szCs w:val="20"/>
      <w:u w:val="single"/>
    </w:rPr>
  </w:style>
  <w:style w:type="character" w:styleId="zzmpTCEntryL2">
    <w:name w:val="zzmpTCEntryL2"/>
    <w:basedOn w:val="DefaultParagraphFont"/>
    <w:qFormat/>
    <w:rPr>
      <w:color w:val="0000FF"/>
      <w:sz w:val="20"/>
      <w:szCs w:val="20"/>
      <w:u w:val="single"/>
    </w:rPr>
  </w:style>
  <w:style w:type="character" w:styleId="zzmpTCEntryL3">
    <w:name w:val="zzmpTCEntryL3"/>
    <w:basedOn w:val="DefaultParagraphFont"/>
    <w:qFormat/>
    <w:rPr>
      <w:color w:val="0000FF"/>
      <w:sz w:val="20"/>
      <w:szCs w:val="20"/>
      <w:u w:val="single"/>
    </w:rPr>
  </w:style>
  <w:style w:type="character" w:styleId="zzmpTCEntryL4">
    <w:name w:val="zzmpTCEntryL4"/>
    <w:basedOn w:val="DefaultParagraphFont"/>
    <w:qFormat/>
    <w:rPr>
      <w:color w:val="0000FF"/>
      <w:sz w:val="20"/>
      <w:szCs w:val="20"/>
      <w:u w:val="single"/>
    </w:rPr>
  </w:style>
  <w:style w:type="character" w:styleId="zzmpTCEntryL5">
    <w:name w:val="zzmpTCEntryL5"/>
    <w:basedOn w:val="DefaultParagraphFont"/>
    <w:qFormat/>
    <w:rPr>
      <w:color w:val="0000FF"/>
      <w:sz w:val="20"/>
      <w:szCs w:val="20"/>
      <w:u w:val="single"/>
    </w:rPr>
  </w:style>
  <w:style w:type="character" w:styleId="zzmpTCEntryL6">
    <w:name w:val="zzmpTCEntryL6"/>
    <w:basedOn w:val="DefaultParagraphFont"/>
    <w:qFormat/>
    <w:rPr>
      <w:color w:val="0000FF"/>
      <w:sz w:val="20"/>
      <w:szCs w:val="20"/>
      <w:u w:val="single"/>
    </w:rPr>
  </w:style>
  <w:style w:type="character" w:styleId="zzmpTCEntryL7">
    <w:name w:val="zzmpTCEntryL7"/>
    <w:basedOn w:val="DefaultParagraphFont"/>
    <w:qFormat/>
    <w:rPr>
      <w:color w:val="0000FF"/>
      <w:sz w:val="20"/>
      <w:szCs w:val="20"/>
      <w:u w:val="single"/>
    </w:rPr>
  </w:style>
  <w:style w:type="character" w:styleId="zzmpTCEntryL8">
    <w:name w:val="zzmpTCEntryL8"/>
    <w:basedOn w:val="DefaultParagraphFont"/>
    <w:qFormat/>
    <w:rPr>
      <w:color w:val="0000FF"/>
      <w:sz w:val="20"/>
      <w:szCs w:val="20"/>
      <w:u w:val="single"/>
    </w:rPr>
  </w:style>
  <w:style w:type="character" w:styleId="zzmpTCEntryL9">
    <w:name w:val="zzmpTCEntryL9"/>
    <w:basedOn w:val="DefaultParagraphFont"/>
    <w:qFormat/>
    <w:rPr>
      <w:color w:val="0000FF"/>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152"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76"/>
        <w:tab w:val="center" w:pos="4986" w:leader="none"/>
        <w:tab w:val="right" w:pos="9972" w:leader="none"/>
      </w:tabs>
    </w:pPr>
    <w:rPr/>
  </w:style>
  <w:style w:type="paragraph" w:styleId="Footer">
    <w:name w:val="footer"/>
    <w:basedOn w:val="Normal"/>
    <w:pPr>
      <w:tabs>
        <w:tab w:val="clear" w:pos="576"/>
        <w:tab w:val="center" w:pos="4320" w:leader="none"/>
        <w:tab w:val="right" w:pos="10440" w:leader="none"/>
      </w:tabs>
    </w:pPr>
    <w:rPr/>
  </w:style>
  <w:style w:type="paragraph" w:styleId="Header">
    <w:name w:val="header"/>
    <w:basedOn w:val="Normal"/>
    <w:pPr>
      <w:tabs>
        <w:tab w:val="clear" w:pos="576"/>
        <w:tab w:val="center" w:pos="4320" w:leader="none"/>
        <w:tab w:val="right" w:pos="8640" w:leader="none"/>
      </w:tabs>
    </w:pPr>
    <w:rPr/>
  </w:style>
  <w:style w:type="paragraph" w:styleId="zzmpSDP">
    <w:name w:val="zzmpSDP"/>
    <w:basedOn w:val="Normal"/>
    <w:qFormat/>
    <w:pPr>
      <w:spacing w:before="0" w:after="240"/>
    </w:pPr>
    <w:rPr>
      <w:b/>
      <w:bCs/>
      <w:caps/>
    </w:rPr>
  </w:style>
  <w:style w:type="paragraph" w:styleId="LetterSignature">
    <w:name w:val="Letter Signature"/>
    <w:basedOn w:val="Normal"/>
    <w:qFormat/>
    <w:pPr>
      <w:keepNext w:val="true"/>
      <w:keepLines/>
      <w:ind w:hanging="0" w:start="4320" w:end="0"/>
    </w:pPr>
    <w:rPr/>
  </w:style>
  <w:style w:type="paragraph" w:styleId="BodyTextContinued">
    <w:name w:val="Body Text Continued"/>
    <w:basedOn w:val="BodyText"/>
    <w:next w:val="BodyText"/>
    <w:qFormat/>
    <w:pPr>
      <w:ind w:hanging="0" w:start="0" w:end="0"/>
    </w:pPr>
    <w:rPr/>
  </w:style>
  <w:style w:type="paragraph" w:styleId="BodyText2">
    <w:name w:val="Body Text 2"/>
    <w:basedOn w:val="BodyText"/>
    <w:next w:val="BodyText"/>
    <w:qFormat/>
    <w:pPr>
      <w:spacing w:before="0" w:after="0"/>
      <w:ind w:firstLine="1152"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spacing w:before="0" w:after="40"/>
      <w:ind w:firstLine="576" w:start="0" w:end="0"/>
    </w:pPr>
    <w:rPr>
      <w:sz w:val="20"/>
      <w:szCs w:val="20"/>
    </w:rPr>
  </w:style>
  <w:style w:type="paragraph" w:styleId="HeaderNumbers">
    <w:name w:val="HeaderNumbers"/>
    <w:basedOn w:val="Normal"/>
    <w:qFormat/>
    <w:pPr>
      <w:spacing w:lineRule="exact" w:line="480" w:before="720" w:after="0"/>
      <w:ind w:hanging="0" w:start="0" w:end="144"/>
      <w:jc w:val="end"/>
    </w:pPr>
    <w:rPr/>
  </w:style>
  <w:style w:type="paragraph" w:styleId="Heading1Para">
    <w:name w:val="Heading1Para"/>
    <w:basedOn w:val="BodyText"/>
    <w:next w:val="BodyText"/>
    <w:qFormat/>
    <w:pPr>
      <w:jc w:val="center"/>
    </w:pPr>
    <w:rPr/>
  </w:style>
  <w:style w:type="paragraph" w:styleId="Heading2Para">
    <w:name w:val="Heading2Para"/>
    <w:basedOn w:val="BodyText"/>
    <w:next w:val="BodyText"/>
    <w:qFormat/>
    <w:pPr/>
    <w:rPr/>
  </w:style>
  <w:style w:type="paragraph" w:styleId="Heading3Para">
    <w:name w:val="Heading3Para"/>
    <w:basedOn w:val="BodyText"/>
    <w:next w:val="BodyText"/>
    <w:qFormat/>
    <w:pPr>
      <w:ind w:firstLine="1440" w:start="0" w:end="0"/>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LeftHeading">
    <w:name w:val="Left Heading"/>
    <w:basedOn w:val="Normal"/>
    <w:next w:val="Normal"/>
    <w:qFormat/>
    <w:pPr/>
    <w:rPr>
      <w:b/>
      <w:bCs/>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val="false"/>
      <w:tabs>
        <w:tab w:val="clear" w:pos="576"/>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576"/>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152" w:end="1152"/>
    </w:pPr>
    <w:rPr/>
  </w:style>
  <w:style w:type="paragraph" w:styleId="TableofAuthorities">
    <w:name w:val="Table of Authorities"/>
    <w:basedOn w:val="Normal"/>
    <w:next w:val="Normal"/>
    <w:qFormat/>
    <w:pPr>
      <w:keepLines/>
      <w:tabs>
        <w:tab w:val="clear" w:pos="576"/>
        <w:tab w:val="right" w:pos="9216"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b/>
      <w:bCs/>
      <w:caps/>
    </w:rPr>
  </w:style>
  <w:style w:type="paragraph" w:styleId="TOC1">
    <w:name w:val="toc 1"/>
    <w:basedOn w:val="Normal"/>
    <w:next w:val="TOC2"/>
    <w:pPr>
      <w:keepLines/>
      <w:tabs>
        <w:tab w:val="clear" w:pos="576"/>
        <w:tab w:val="right" w:pos="9288" w:leader="dot"/>
      </w:tabs>
      <w:ind w:hanging="720" w:start="720" w:end="720"/>
    </w:pPr>
    <w:rPr/>
  </w:style>
  <w:style w:type="paragraph" w:styleId="TOC2">
    <w:name w:val="toc 2"/>
    <w:basedOn w:val="Normal"/>
    <w:next w:val="TOC3"/>
    <w:pPr>
      <w:keepLines/>
      <w:tabs>
        <w:tab w:val="clear" w:pos="576"/>
        <w:tab w:val="right" w:pos="9288" w:leader="dot"/>
      </w:tabs>
      <w:ind w:hanging="720" w:start="1440" w:end="720"/>
    </w:pPr>
    <w:rPr/>
  </w:style>
  <w:style w:type="paragraph" w:styleId="TOC3">
    <w:name w:val="toc 3"/>
    <w:basedOn w:val="Normal"/>
    <w:next w:val="TOC4"/>
    <w:pPr>
      <w:keepLines/>
      <w:tabs>
        <w:tab w:val="clear" w:pos="576"/>
        <w:tab w:val="right" w:pos="9288" w:leader="dot"/>
      </w:tabs>
      <w:ind w:hanging="720" w:start="2160" w:end="720"/>
    </w:pPr>
    <w:rPr/>
  </w:style>
  <w:style w:type="paragraph" w:styleId="TOC4">
    <w:name w:val="toc 4"/>
    <w:basedOn w:val="Normal"/>
    <w:next w:val="TOC5"/>
    <w:pPr>
      <w:keepLines/>
      <w:tabs>
        <w:tab w:val="clear" w:pos="576"/>
        <w:tab w:val="right" w:pos="9288" w:leader="dot"/>
      </w:tabs>
      <w:ind w:hanging="720" w:start="2880" w:end="720"/>
    </w:pPr>
    <w:rPr/>
  </w:style>
  <w:style w:type="paragraph" w:styleId="TOC5">
    <w:name w:val="toc 5"/>
    <w:basedOn w:val="Normal"/>
    <w:next w:val="TOC6"/>
    <w:pPr>
      <w:keepLines/>
      <w:tabs>
        <w:tab w:val="clear" w:pos="576"/>
        <w:tab w:val="right" w:pos="9288" w:leader="dot"/>
      </w:tabs>
      <w:ind w:hanging="720" w:start="3600" w:end="720"/>
    </w:pPr>
    <w:rPr/>
  </w:style>
  <w:style w:type="paragraph" w:styleId="TOC6">
    <w:name w:val="toc 6"/>
    <w:basedOn w:val="Normal"/>
    <w:next w:val="TOC7"/>
    <w:pPr>
      <w:keepLines/>
      <w:tabs>
        <w:tab w:val="clear" w:pos="576"/>
        <w:tab w:val="right" w:pos="9288" w:leader="dot"/>
      </w:tabs>
      <w:ind w:hanging="720" w:start="4320" w:end="720"/>
    </w:pPr>
    <w:rPr/>
  </w:style>
  <w:style w:type="paragraph" w:styleId="TOC7">
    <w:name w:val="toc 7"/>
    <w:basedOn w:val="Normal"/>
    <w:next w:val="TOC8"/>
    <w:pPr>
      <w:keepLines/>
      <w:tabs>
        <w:tab w:val="clear" w:pos="576"/>
        <w:tab w:val="right" w:pos="9288" w:leader="dot"/>
      </w:tabs>
      <w:ind w:hanging="720" w:start="5040" w:end="720"/>
    </w:pPr>
    <w:rPr/>
  </w:style>
  <w:style w:type="paragraph" w:styleId="TOC8">
    <w:name w:val="toc 8"/>
    <w:basedOn w:val="Normal"/>
    <w:next w:val="TOC9"/>
    <w:pPr>
      <w:keepLines/>
      <w:tabs>
        <w:tab w:val="clear" w:pos="576"/>
        <w:tab w:val="right" w:pos="9288" w:leader="dot"/>
      </w:tabs>
      <w:ind w:hanging="720" w:start="5760" w:end="720"/>
    </w:pPr>
    <w:rPr/>
  </w:style>
  <w:style w:type="paragraph" w:styleId="TOC9">
    <w:name w:val="toc 9"/>
    <w:basedOn w:val="Normal"/>
    <w:pPr>
      <w:keepLines/>
      <w:tabs>
        <w:tab w:val="clear" w:pos="576"/>
        <w:tab w:val="right" w:pos="9288" w:leader="dot"/>
      </w:tabs>
      <w:ind w:hanging="720" w:start="6480" w:end="720"/>
    </w:pPr>
    <w:rPr/>
  </w:style>
  <w:style w:type="paragraph" w:styleId="SDP">
    <w:name w:val="SDP"/>
    <w:basedOn w:val="Normal"/>
    <w:next w:val="Normal"/>
    <w:qFormat/>
    <w:pPr>
      <w:spacing w:before="0" w:after="240"/>
    </w:pPr>
    <w:rPr>
      <w:b/>
      <w:bCs/>
      <w:smallCaps/>
    </w:rPr>
  </w:style>
  <w:style w:type="paragraph" w:styleId="ReLine">
    <w:name w:val="ReLine"/>
    <w:basedOn w:val="Normal"/>
    <w:next w:val="ReLineCont"/>
    <w:qFormat/>
    <w:pPr>
      <w:spacing w:before="120" w:after="0"/>
      <w:ind w:hanging="0" w:start="0" w:end="216"/>
    </w:pPr>
    <w:rPr/>
  </w:style>
  <w:style w:type="paragraph" w:styleId="ReLineCont">
    <w:name w:val="ReLineCont"/>
    <w:basedOn w:val="ReLine"/>
    <w:qFormat/>
    <w:pPr>
      <w:spacing w:before="0" w:after="0"/>
    </w:pPr>
    <w:rPr/>
  </w:style>
  <w:style w:type="paragraph" w:styleId="MemoDate">
    <w:name w:val="Memo Date"/>
    <w:basedOn w:val="Normal"/>
    <w:next w:val="Normal"/>
    <w:qFormat/>
    <w:pPr/>
    <w:rPr/>
  </w:style>
  <w:style w:type="paragraph" w:styleId="DeliveryPhrase">
    <w:name w:val="Delivery Phrase"/>
    <w:basedOn w:val="Normal"/>
    <w:next w:val="Normal"/>
    <w:qFormat/>
    <w:pPr>
      <w:spacing w:before="240" w:after="0"/>
    </w:pPr>
    <w:rPr>
      <w:b/>
      <w:bCs/>
      <w:caps/>
    </w:rPr>
  </w:style>
  <w:style w:type="paragraph" w:styleId="DocumentTitle">
    <w:name w:val="Document Title"/>
    <w:basedOn w:val="Normal"/>
    <w:qFormat/>
    <w:pPr>
      <w:keepNext w:val="true"/>
      <w:keepLines/>
      <w:spacing w:before="0" w:after="480"/>
      <w:ind w:hanging="0" w:start="720" w:end="720"/>
      <w:jc w:val="center"/>
    </w:pPr>
    <w:rPr>
      <w:b/>
      <w:bCs/>
      <w:caps/>
    </w:rPr>
  </w:style>
  <w:style w:type="paragraph" w:styleId="EndnoteText">
    <w:name w:val="endnote text"/>
    <w:basedOn w:val="Normal"/>
    <w:pPr>
      <w:spacing w:before="240" w:after="0"/>
    </w:pPr>
    <w:rPr/>
  </w:style>
  <w:style w:type="paragraph" w:styleId="FootnoteContinued">
    <w:name w:val="Footnote Continued"/>
    <w:basedOn w:val="FootnoteText"/>
    <w:next w:val="FootnoteText"/>
    <w:qFormat/>
    <w:pPr>
      <w:ind w:hanging="0" w:start="0" w:end="0"/>
    </w:pPr>
    <w:rPr/>
  </w:style>
  <w:style w:type="paragraph" w:styleId="FootnoteQuote">
    <w:name w:val="Footnote Quote"/>
    <w:basedOn w:val="FootnoteText"/>
    <w:next w:val="FootnoteContinued"/>
    <w:qFormat/>
    <w:pPr>
      <w:ind w:hanging="0" w:start="576" w:end="576"/>
    </w:pPr>
    <w:rPr/>
  </w:style>
  <w:style w:type="paragraph" w:styleId="NumContinue">
    <w:name w:val="Num Continue"/>
    <w:basedOn w:val="BodyText"/>
    <w:qFormat/>
    <w:pPr/>
    <w:rPr/>
  </w:style>
  <w:style w:type="paragraph" w:styleId="StandardL1">
    <w:name w:val="Standard_L1"/>
    <w:basedOn w:val="Normal"/>
    <w:next w:val="NumContinue"/>
    <w:qFormat/>
    <w:pPr>
      <w:tabs>
        <w:tab w:val="clear" w:pos="576"/>
        <w:tab w:val="left" w:pos="1728" w:leader="none"/>
      </w:tabs>
      <w:spacing w:before="0" w:after="240"/>
      <w:ind w:firstLine="1152" w:start="0" w:end="0"/>
    </w:pPr>
    <w:rPr/>
  </w:style>
  <w:style w:type="paragraph" w:styleId="StandardL2">
    <w:name w:val="Standard_L2"/>
    <w:basedOn w:val="StandardL1"/>
    <w:next w:val="NumContinue"/>
    <w:qFormat/>
    <w:pPr>
      <w:tabs>
        <w:tab w:val="left" w:pos="1728" w:leader="none"/>
        <w:tab w:val="left" w:pos="2304" w:leader="none"/>
      </w:tabs>
      <w:ind w:firstLine="1728" w:start="0" w:end="0"/>
    </w:pPr>
    <w:rPr/>
  </w:style>
  <w:style w:type="paragraph" w:styleId="StandardL3">
    <w:name w:val="Standard_L3"/>
    <w:basedOn w:val="StandardL2"/>
    <w:next w:val="NumContinue"/>
    <w:qFormat/>
    <w:pPr>
      <w:tabs>
        <w:tab w:val="left" w:pos="1728" w:leader="none"/>
        <w:tab w:val="left" w:pos="2304" w:leader="none"/>
        <w:tab w:val="left" w:pos="2880" w:leader="none"/>
      </w:tabs>
      <w:ind w:firstLine="2304" w:start="0" w:end="0"/>
    </w:pPr>
    <w:rPr/>
  </w:style>
  <w:style w:type="paragraph" w:styleId="StandardL4">
    <w:name w:val="Standard_L4"/>
    <w:basedOn w:val="StandardL3"/>
    <w:next w:val="NumContinue"/>
    <w:qFormat/>
    <w:pPr>
      <w:tabs>
        <w:tab w:val="left" w:pos="1728" w:leader="none"/>
        <w:tab w:val="left" w:pos="2304" w:leader="none"/>
        <w:tab w:val="left" w:pos="2880" w:leader="none"/>
        <w:tab w:val="left" w:pos="3456" w:leader="none"/>
      </w:tabs>
      <w:ind w:firstLine="2880" w:start="0" w:end="0"/>
    </w:pPr>
    <w:rPr/>
  </w:style>
  <w:style w:type="paragraph" w:styleId="StandardL5">
    <w:name w:val="Standard_L5"/>
    <w:basedOn w:val="StandardL4"/>
    <w:next w:val="NumContinue"/>
    <w:qFormat/>
    <w:pPr>
      <w:tabs>
        <w:tab w:val="left" w:pos="1728" w:leader="none"/>
        <w:tab w:val="left" w:pos="2304" w:leader="none"/>
        <w:tab w:val="left" w:pos="2880" w:leader="none"/>
        <w:tab w:val="left" w:pos="3456" w:leader="none"/>
        <w:tab w:val="left" w:pos="4176" w:leader="none"/>
      </w:tabs>
      <w:ind w:firstLine="3888" w:start="0" w:end="0"/>
    </w:pPr>
    <w:rPr/>
  </w:style>
  <w:style w:type="paragraph" w:styleId="StandardL6">
    <w:name w:val="Standard_L6"/>
    <w:basedOn w:val="StandardL5"/>
    <w:next w:val="NumContinue"/>
    <w:qFormat/>
    <w:pPr>
      <w:tabs>
        <w:tab w:val="left" w:pos="1728" w:leader="none"/>
        <w:tab w:val="left" w:pos="2304" w:leader="none"/>
        <w:tab w:val="left" w:pos="2880" w:leader="none"/>
        <w:tab w:val="left" w:pos="3456" w:leader="none"/>
        <w:tab w:val="left" w:pos="4176" w:leader="none"/>
        <w:tab w:val="left" w:pos="4752" w:leader="none"/>
      </w:tabs>
      <w:ind w:firstLine="4176" w:start="0" w:end="0"/>
    </w:pPr>
    <w:rPr/>
  </w:style>
  <w:style w:type="paragraph" w:styleId="StandardL7">
    <w:name w:val="Standard_L7"/>
    <w:basedOn w:val="StandardL6"/>
    <w:next w:val="NumContinue"/>
    <w:qFormat/>
    <w:pPr>
      <w:tabs>
        <w:tab w:val="left" w:pos="1728" w:leader="none"/>
        <w:tab w:val="left" w:pos="2304" w:leader="none"/>
        <w:tab w:val="left" w:pos="2880" w:leader="none"/>
        <w:tab w:val="left" w:pos="3456" w:leader="none"/>
        <w:tab w:val="left" w:pos="4176" w:leader="none"/>
        <w:tab w:val="left" w:pos="4752" w:leader="none"/>
        <w:tab w:val="left" w:pos="5400" w:leader="none"/>
      </w:tabs>
      <w:ind w:firstLine="5112" w:start="0" w:end="0"/>
    </w:pPr>
    <w:rPr/>
  </w:style>
  <w:style w:type="paragraph" w:styleId="StandardL8">
    <w:name w:val="Standard_L8"/>
    <w:basedOn w:val="StandardL7"/>
    <w:next w:val="NumContinue"/>
    <w:qFormat/>
    <w:pPr>
      <w:tabs>
        <w:tab w:val="left" w:pos="1728" w:leader="none"/>
        <w:tab w:val="left" w:pos="2304" w:leader="none"/>
        <w:tab w:val="left" w:pos="2880" w:leader="none"/>
        <w:tab w:val="left" w:pos="3456" w:leader="none"/>
        <w:tab w:val="left" w:pos="4176" w:leader="none"/>
        <w:tab w:val="left" w:pos="4752" w:leader="none"/>
        <w:tab w:val="left" w:pos="5400" w:leader="none"/>
        <w:tab w:val="left" w:pos="5976" w:leader="none"/>
      </w:tabs>
      <w:ind w:firstLine="5400" w:start="0" w:end="0"/>
    </w:pPr>
    <w:rPr/>
  </w:style>
  <w:style w:type="paragraph" w:styleId="Legal2TabL1">
    <w:name w:val="Legal2Tab_L1"/>
    <w:basedOn w:val="Normal"/>
    <w:next w:val="Normal"/>
    <w:qFormat/>
    <w:pPr>
      <w:tabs>
        <w:tab w:val="clear" w:pos="576"/>
        <w:tab w:val="left" w:pos="1800" w:leader="none"/>
      </w:tabs>
      <w:spacing w:before="0" w:after="240"/>
      <w:ind w:firstLine="720" w:start="0" w:end="0"/>
      <w:jc w:val="both"/>
    </w:pPr>
    <w:rPr>
      <w:sz w:val="24"/>
      <w:szCs w:val="24"/>
    </w:rPr>
  </w:style>
  <w:style w:type="paragraph" w:styleId="Legal2TabL2">
    <w:name w:val="Legal2Tab_L2"/>
    <w:basedOn w:val="Legal2TabL1"/>
    <w:next w:val="Normal"/>
    <w:qFormat/>
    <w:pPr>
      <w:ind w:firstLine="1440" w:start="0" w:end="0"/>
    </w:pPr>
    <w:rPr/>
  </w:style>
  <w:style w:type="paragraph" w:styleId="Legal2TabL3">
    <w:name w:val="Legal2Tab_L3"/>
    <w:basedOn w:val="Legal2TabL2"/>
    <w:next w:val="Normal"/>
    <w:qFormat/>
    <w:pPr>
      <w:tabs>
        <w:tab w:val="left" w:pos="1800" w:leader="none"/>
        <w:tab w:val="left" w:pos="2520" w:leader="none"/>
      </w:tabs>
      <w:ind w:firstLine="2160" w:start="0" w:end="0"/>
    </w:pPr>
    <w:rPr/>
  </w:style>
  <w:style w:type="paragraph" w:styleId="Legal2TabL4">
    <w:name w:val="Legal2Tab_L4"/>
    <w:basedOn w:val="Legal2TabL3"/>
    <w:next w:val="Normal"/>
    <w:qFormat/>
    <w:pPr>
      <w:tabs>
        <w:tab w:val="left" w:pos="1800" w:leader="none"/>
        <w:tab w:val="left" w:pos="2520" w:leader="none"/>
        <w:tab w:val="left" w:pos="3600" w:leader="none"/>
      </w:tabs>
      <w:ind w:firstLine="2880" w:start="0" w:end="0"/>
    </w:pPr>
    <w:rPr/>
  </w:style>
  <w:style w:type="paragraph" w:styleId="Legal2TabL5">
    <w:name w:val="Legal2Tab_L5"/>
    <w:basedOn w:val="Legal2TabL4"/>
    <w:next w:val="Normal"/>
    <w:qFormat/>
    <w:pPr>
      <w:tabs>
        <w:tab w:val="left" w:pos="1800" w:leader="none"/>
        <w:tab w:val="left" w:pos="2520" w:leader="none"/>
        <w:tab w:val="left" w:pos="3600" w:leader="none"/>
        <w:tab w:val="left" w:pos="4320" w:leader="none"/>
      </w:tabs>
      <w:ind w:firstLine="3600" w:start="0" w:end="0"/>
    </w:pPr>
    <w:rPr/>
  </w:style>
  <w:style w:type="paragraph" w:styleId="Legal2TabL6">
    <w:name w:val="Legal2Tab_L6"/>
    <w:basedOn w:val="Legal2TabL5"/>
    <w:next w:val="Normal"/>
    <w:qFormat/>
    <w:pPr>
      <w:tabs>
        <w:tab w:val="left" w:pos="1800" w:leader="none"/>
        <w:tab w:val="left" w:pos="2520" w:leader="none"/>
        <w:tab w:val="left" w:pos="3600" w:leader="none"/>
        <w:tab w:val="left" w:pos="4320" w:leader="none"/>
        <w:tab w:val="left" w:pos="5040" w:leader="none"/>
      </w:tabs>
      <w:ind w:firstLine="4320" w:start="0" w:end="0"/>
    </w:pPr>
    <w:rPr/>
  </w:style>
  <w:style w:type="paragraph" w:styleId="Legal2TabL7">
    <w:name w:val="Legal2Tab_L7"/>
    <w:basedOn w:val="Legal2TabL6"/>
    <w:next w:val="Normal"/>
    <w:qFormat/>
    <w:pPr>
      <w:tabs>
        <w:tab w:val="left" w:pos="1800" w:leader="none"/>
        <w:tab w:val="left" w:pos="2520" w:leader="none"/>
        <w:tab w:val="left" w:pos="3600" w:leader="none"/>
        <w:tab w:val="left" w:pos="4320" w:leader="none"/>
        <w:tab w:val="left" w:pos="5040" w:leader="none"/>
        <w:tab w:val="left" w:pos="5760" w:leader="none"/>
      </w:tabs>
      <w:ind w:firstLine="5040" w:start="0" w:end="0"/>
    </w:pPr>
    <w:rPr/>
  </w:style>
  <w:style w:type="paragraph" w:styleId="Legal2TabL8">
    <w:name w:val="Legal2Tab_L8"/>
    <w:basedOn w:val="Legal2TabL7"/>
    <w:next w:val="Normal"/>
    <w:qFormat/>
    <w:pPr>
      <w:tabs>
        <w:tab w:val="left" w:pos="1800" w:leader="none"/>
        <w:tab w:val="left" w:pos="2160" w:leader="none"/>
        <w:tab w:val="left" w:pos="2520" w:leader="none"/>
        <w:tab w:val="left" w:pos="3600" w:leader="none"/>
        <w:tab w:val="left" w:pos="4320" w:leader="none"/>
        <w:tab w:val="left" w:pos="5040" w:leader="none"/>
        <w:tab w:val="left" w:pos="5760" w:leader="none"/>
      </w:tabs>
      <w:ind w:firstLine="1440" w:start="0" w:end="0"/>
    </w:pPr>
    <w:rPr/>
  </w:style>
  <w:style w:type="paragraph" w:styleId="Legal2TabL9">
    <w:name w:val="Legal2Tab_L9"/>
    <w:basedOn w:val="Legal2TabL8"/>
    <w:next w:val="Normal"/>
    <w:qFormat/>
    <w:pPr>
      <w:tabs>
        <w:tab w:val="left" w:pos="1800" w:leader="none"/>
        <w:tab w:val="left" w:pos="2160" w:leader="none"/>
        <w:tab w:val="left" w:pos="2520" w:leader="none"/>
        <w:tab w:val="left" w:pos="2880" w:leader="none"/>
        <w:tab w:val="left" w:pos="3600" w:leader="none"/>
        <w:tab w:val="left" w:pos="4320" w:leader="none"/>
        <w:tab w:val="left" w:pos="5040" w:leader="none"/>
        <w:tab w:val="left" w:pos="5760" w:leader="none"/>
      </w:tabs>
      <w:ind w:firstLine="216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2001-01-25T15:09:00Z</dcterms:created>
  <dc:creator>.</dc:creator>
  <dc:description/>
  <dc:language>en-CA</dc:language>
  <cp:lastModifiedBy>Carol Hudson</cp:lastModifiedBy>
  <cp:lastPrinted>2001-01-24T16:42:00Z</cp:lastPrinted>
  <dcterms:modified xsi:type="dcterms:W3CDTF">2001-01-25T15:09:00Z</dcterms:modified>
  <cp:revision>2</cp:revision>
  <dc:subject/>
  <dc:title>FORBEARANCE AGREEMENT</dc:title>
</cp:coreProperties>
</file>