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keepLines w:val="false"/>
        <w:tabs>
          <w:tab w:val="clear" w:pos="720"/>
          <w:tab w:val="left" w:pos="-1440" w:leader="none"/>
          <w:tab w:val="left" w:pos="-720" w:leader="none"/>
        </w:tabs>
        <w:suppressAutoHyphens w:val="true"/>
        <w:spacing w:before="0" w:after="0"/>
        <w:ind w:hanging="0" w:start="0"/>
        <w:jc w:val="end"/>
        <w:rPr>
          <w:b w:val="false"/>
          <w:bCs w:val="false"/>
          <w:caps w:val="false"/>
          <w:smallCaps w:val="false"/>
          <w:sz w:val="24"/>
          <w:szCs w:val="24"/>
          <w:lang w:val="en-US" w:eastAsia="en-CA"/>
        </w:rPr>
      </w:pPr>
      <w:r>
        <w:rPr>
          <w:b w:val="false"/>
          <w:bCs w:val="false"/>
          <w:caps w:val="false"/>
          <w:smallCaps w:val="false"/>
          <w:sz w:val="24"/>
          <w:szCs w:val="24"/>
          <w:lang w:val="en-US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-822960</wp:posOffset>
                </wp:positionH>
                <wp:positionV relativeFrom="paragraph">
                  <wp:posOffset>228600</wp:posOffset>
                </wp:positionV>
                <wp:extent cx="91440" cy="91440"/>
                <wp:effectExtent l="5080" t="5080" r="571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blipFill rotWithShape="0">
                          <a:blip r:embed="rId2"/>
                          <a:tile tx="0" ty="0" sx="100000" sy="100000" algn="ctr"/>
                        </a:blip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0000,20000" path="m0,0l0,20000l20000,20000l20000,0l0,0e" stroked="t" o:allowincell="f" style="position:absolute;margin-left:-64.8pt;margin-top:18pt;width:7.15pt;height:7.15pt;mso-wrap-style:none;v-text-anchor:middle">
                <v:fill r:id="rId3" o:detectmouseclick="t" type="tile" color2="black"/>
                <v:stroke color="white" weight="9360" joinstyle="round" endcap="flat"/>
                <w10:wrap type="none"/>
              </v:shape>
            </w:pict>
          </mc:Fallback>
        </mc:AlternateContent>
      </w:r>
    </w:p>
    <w:p>
      <w:pPr>
        <w:pStyle w:val="Heading1"/>
        <w:keepNext w:val="false"/>
        <w:keepLines w:val="false"/>
        <w:tabs>
          <w:tab w:val="clear" w:pos="720"/>
          <w:tab w:val="left" w:pos="-1440" w:leader="none"/>
          <w:tab w:val="left" w:pos="-720" w:leader="none"/>
        </w:tabs>
        <w:suppressAutoHyphens w:val="true"/>
        <w:spacing w:before="0" w:after="0"/>
        <w:ind w:hanging="0" w:start="0"/>
        <w:jc w:val="end"/>
        <w:rPr>
          <w:b w:val="false"/>
          <w:bCs w:val="false"/>
          <w:caps w:val="false"/>
          <w:smallCaps w:val="false"/>
          <w:sz w:val="24"/>
          <w:szCs w:val="24"/>
        </w:rPr>
      </w:pPr>
      <w:r>
        <w:rPr>
          <w:b w:val="false"/>
          <w:bCs w:val="false"/>
          <w:caps w:val="false"/>
          <w:smallCaps w:val="false"/>
          <w:sz w:val="24"/>
          <w:szCs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tbl>
      <w:tblPr>
        <w:tblW w:w="936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DV_M0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[Letterhead of GE]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DV_M1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GE Packaged Power, Inc.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DV_M2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2707 North Loop West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DV_M3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Houston, TX 77008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hanging="0" w:start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DV_M4"/>
      <w:bookmarkEnd w:id="4"/>
      <w:r>
        <w:rPr>
          <w:rFonts w:cs="Times New Roman" w:ascii="Times New Roman" w:hAnsi="Times New Roman"/>
          <w:sz w:val="24"/>
          <w:szCs w:val="24"/>
        </w:rPr>
        <w:t xml:space="preserve">Acknowledgment of Receipt of Funds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_DV_C5"/>
      <w:r>
        <w:rPr>
          <w:rStyle w:val="DeltaViewDeletion"/>
          <w:rFonts w:cs="Times New Roman" w:ascii="Times New Roman" w:hAnsi="Times New Roman"/>
          <w:sz w:val="24"/>
          <w:szCs w:val="24"/>
        </w:rPr>
        <w:t>April          ,</w:t>
      </w:r>
      <w:bookmarkEnd w:id="5"/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DV_C6"/>
      <w:bookmarkStart w:id="7" w:name="_DV_IPM0"/>
      <w:bookmarkEnd w:id="7"/>
      <w:r>
        <w:rPr>
          <w:rStyle w:val="DeltaViewInsertion"/>
        </w:rPr>
        <w:t>                                          </w:t>
      </w:r>
      <w:r>
        <w:rPr>
          <w:rStyle w:val="DeltaViewInsertion"/>
          <w:rFonts w:cs="Times New Roman" w:ascii="Times New Roman" w:hAnsi="Times New Roman"/>
          <w:sz w:val="24"/>
          <w:szCs w:val="24"/>
        </w:rPr>
        <w:t>,</w:t>
      </w:r>
      <w:bookmarkEnd w:id="6"/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bookmarkStart w:id="8" w:name="_DV_C7"/>
      <w:r>
        <w:rPr>
          <w:rStyle w:val="DeltaViewDeletion"/>
          <w:rFonts w:cs="Times New Roman" w:ascii="Times New Roman" w:hAnsi="Times New Roman"/>
          <w:sz w:val="24"/>
          <w:szCs w:val="24"/>
        </w:rPr>
        <w:t>2001</w:t>
      </w:r>
      <w:bookmarkStart w:id="9" w:name="_DV_C8"/>
      <w:bookmarkEnd w:id="8"/>
      <w:r>
        <w:rPr>
          <w:rStyle w:val="DeltaViewInsertion"/>
          <w:rFonts w:cs="Times New Roman" w:ascii="Times New Roman" w:hAnsi="Times New Roman"/>
          <w:sz w:val="24"/>
          <w:szCs w:val="24"/>
        </w:rPr>
        <w:t>2001</w:t>
      </w:r>
      <w:bookmarkEnd w:id="9"/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10" w:name="_DV_M5"/>
      <w:bookmarkEnd w:id="10"/>
      <w:r>
        <w:rPr>
          <w:color w:val="000000"/>
          <w:sz w:val="24"/>
          <w:szCs w:val="24"/>
          <w:lang w:val="en-GB"/>
        </w:rPr>
        <w:t>To each of the Purchasers party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11" w:name="_DV_M6"/>
      <w:bookmarkEnd w:id="11"/>
      <w:r>
        <w:rPr>
          <w:color w:val="000000"/>
          <w:sz w:val="24"/>
          <w:szCs w:val="24"/>
          <w:lang w:val="en-GB"/>
        </w:rPr>
        <w:t>to the Note Purchase Agreement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12" w:name="_DV_M7"/>
      <w:bookmarkEnd w:id="12"/>
      <w:r>
        <w:rPr>
          <w:color w:val="000000"/>
          <w:sz w:val="24"/>
          <w:szCs w:val="24"/>
          <w:lang w:val="en-GB"/>
        </w:rPr>
        <w:t>referred to below and the Initial Purchaser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13" w:name="_DV_M8"/>
      <w:bookmarkEnd w:id="13"/>
      <w:r>
        <w:rPr>
          <w:color w:val="000000"/>
          <w:sz w:val="24"/>
          <w:szCs w:val="24"/>
          <w:lang w:val="en-GB"/>
        </w:rPr>
        <w:t>under the Unit Purchase Agreement referred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14" w:name="_DV_M9"/>
      <w:bookmarkEnd w:id="14"/>
      <w:r>
        <w:rPr>
          <w:color w:val="000000"/>
          <w:sz w:val="24"/>
          <w:szCs w:val="24"/>
          <w:lang w:val="en-GB"/>
        </w:rPr>
        <w:t>to below</w:t>
      </w:r>
    </w:p>
    <w:p>
      <w:pPr>
        <w:pStyle w:val="BodyText"/>
        <w:spacing w:before="0" w:after="240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spacing w:before="0" w:after="240"/>
        <w:jc w:val="both"/>
        <w:rPr>
          <w:color w:val="000000"/>
          <w:sz w:val="24"/>
          <w:szCs w:val="24"/>
          <w:lang w:val="en-GB"/>
        </w:rPr>
      </w:pPr>
      <w:bookmarkStart w:id="15" w:name="_DV_M10"/>
      <w:bookmarkEnd w:id="15"/>
      <w:r>
        <w:rPr>
          <w:color w:val="000000"/>
          <w:sz w:val="24"/>
          <w:szCs w:val="24"/>
          <w:lang w:val="en-GB"/>
        </w:rPr>
        <w:t>Ladies and Gentleman:</w:t>
      </w:r>
    </w:p>
    <w:p>
      <w:pPr>
        <w:pStyle w:val="BodyText"/>
        <w:spacing w:before="0" w:after="240"/>
        <w:jc w:val="both"/>
        <w:rPr/>
      </w:pPr>
      <w:bookmarkStart w:id="16" w:name="_DV_M11"/>
      <w:bookmarkEnd w:id="16"/>
      <w:r>
        <w:rPr>
          <w:color w:val="000000"/>
          <w:sz w:val="24"/>
          <w:szCs w:val="24"/>
          <w:lang w:val="en-GB"/>
        </w:rPr>
        <w:t xml:space="preserve">Reference is made to (i) the Note Purchase Agreement dated as of April 26, 2001 (the </w:t>
      </w:r>
      <w:r>
        <w:rPr>
          <w:b/>
          <w:bCs/>
          <w:i/>
          <w:iCs/>
          <w:color w:val="000000"/>
          <w:sz w:val="24"/>
          <w:szCs w:val="24"/>
          <w:lang w:val="en-GB"/>
        </w:rPr>
        <w:t>Note Purchase Agreement</w:t>
      </w:r>
      <w:r>
        <w:rPr>
          <w:color w:val="000000"/>
          <w:sz w:val="24"/>
          <w:szCs w:val="24"/>
          <w:lang w:val="en-GB"/>
        </w:rPr>
        <w:t xml:space="preserve">) between Pegasus Power Partners, LLC and the Purchasers party thereto and (ii) the Unit Purchase Agreement dated as of April 26, 2001 (the </w:t>
      </w:r>
      <w:r>
        <w:rPr>
          <w:b/>
          <w:bCs/>
          <w:i/>
          <w:iCs/>
          <w:color w:val="000000"/>
          <w:sz w:val="24"/>
          <w:szCs w:val="24"/>
          <w:lang w:val="en-GB"/>
        </w:rPr>
        <w:t>Unit Purchase Agreement</w:t>
      </w:r>
      <w:r>
        <w:rPr>
          <w:color w:val="000000"/>
          <w:sz w:val="24"/>
          <w:szCs w:val="24"/>
          <w:lang w:val="en-GB"/>
        </w:rPr>
        <w:t>) between Pegasus Power Partners, LLC and the Initial Purchaser party thereto</w:t>
      </w:r>
      <w:r>
        <w:rPr>
          <w:i/>
          <w:iCs/>
          <w:color w:val="000000"/>
          <w:sz w:val="24"/>
          <w:szCs w:val="24"/>
          <w:lang w:val="en-GB"/>
        </w:rPr>
        <w:t>.</w:t>
      </w:r>
      <w:r>
        <w:rPr>
          <w:color w:val="000000"/>
          <w:sz w:val="24"/>
          <w:szCs w:val="24"/>
          <w:lang w:val="en-GB"/>
        </w:rPr>
        <w:t xml:space="preserve">  Capitalized terms used but not defined herein have the respective meanings given to such terms in the Note Purchase Agreement.  GE Packaged Power, Inc. (the </w:t>
      </w:r>
      <w:r>
        <w:rPr>
          <w:b/>
          <w:bCs/>
          <w:i/>
          <w:iCs/>
          <w:color w:val="000000"/>
          <w:sz w:val="24"/>
          <w:szCs w:val="24"/>
          <w:lang w:val="en-GB"/>
        </w:rPr>
        <w:t>GE Packaged Power</w:t>
      </w:r>
      <w:r>
        <w:rPr>
          <w:color w:val="000000"/>
          <w:sz w:val="24"/>
          <w:szCs w:val="24"/>
          <w:lang w:val="en-GB"/>
        </w:rPr>
        <w:t>) has requested that the amount of $50,234,000 for all payments due under the Turbine Contract be wired to the following account.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17" w:name="_DV_M12"/>
      <w:bookmarkEnd w:id="17"/>
      <w:r>
        <w:rPr>
          <w:color w:val="000000"/>
          <w:sz w:val="24"/>
          <w:szCs w:val="24"/>
          <w:lang w:val="en-GB"/>
        </w:rPr>
        <w:t>GE Packaged Power, Inc.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18" w:name="_DV_M13"/>
      <w:bookmarkEnd w:id="18"/>
      <w:r>
        <w:rPr>
          <w:color w:val="000000"/>
          <w:sz w:val="24"/>
          <w:szCs w:val="24"/>
          <w:lang w:val="en-GB"/>
        </w:rPr>
        <w:t>Acount#00-388615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19" w:name="_DV_M14"/>
      <w:bookmarkEnd w:id="19"/>
      <w:r>
        <w:rPr>
          <w:color w:val="000000"/>
          <w:sz w:val="24"/>
          <w:szCs w:val="24"/>
          <w:lang w:val="en-GB"/>
        </w:rPr>
        <w:t>Bankers Trust Company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20" w:name="_DV_M15"/>
      <w:bookmarkEnd w:id="20"/>
      <w:r>
        <w:rPr>
          <w:color w:val="000000"/>
          <w:sz w:val="24"/>
          <w:szCs w:val="24"/>
          <w:lang w:val="en-GB"/>
        </w:rPr>
        <w:t>ABA #021001033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bookmarkStart w:id="21" w:name="_DV_M16"/>
      <w:bookmarkEnd w:id="21"/>
      <w:r>
        <w:rPr>
          <w:color w:val="000000"/>
          <w:sz w:val="24"/>
          <w:szCs w:val="24"/>
          <w:lang w:val="en-GB"/>
        </w:rPr>
        <w:t>SWIFT: BKTRUS33</w:t>
      </w:r>
    </w:p>
    <w:p>
      <w:pPr>
        <w:pStyle w:val="BodyText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spacing w:before="0" w:after="240"/>
        <w:jc w:val="both"/>
        <w:rPr>
          <w:color w:val="000000"/>
          <w:sz w:val="24"/>
          <w:szCs w:val="24"/>
          <w:lang w:val="en-GB"/>
        </w:rPr>
      </w:pPr>
      <w:bookmarkStart w:id="22" w:name="_DV_M17"/>
      <w:bookmarkEnd w:id="22"/>
      <w:r>
        <w:rPr>
          <w:color w:val="000000"/>
          <w:sz w:val="24"/>
          <w:szCs w:val="24"/>
          <w:lang w:val="en-GB"/>
        </w:rPr>
        <w:t>By its signature hereto, GE Packaged Power acknowledges (i) receipt of $50,234,000 on the date hereof and (ii) that all amounts due and payable to GE Packaged Power under the Turbine Contract have been paid in full.</w:t>
      </w:r>
    </w:p>
    <w:p>
      <w:pPr>
        <w:pStyle w:val="a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GB"/>
        </w:rPr>
      </w:r>
    </w:p>
    <w:p>
      <w:pPr>
        <w:pStyle w:val="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BodyText"/>
        <w:tabs>
          <w:tab w:val="clear" w:pos="720"/>
          <w:tab w:val="left" w:pos="9360" w:leader="none"/>
        </w:tabs>
        <w:spacing w:before="0"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cs="Times New Roman"/>
          <w:color w:val="000000"/>
          <w:sz w:val="24"/>
          <w:szCs w:val="24"/>
          <w:lang w:val="en-GB"/>
        </w:rPr>
      </w:r>
    </w:p>
    <w:p>
      <w:pPr>
        <w:pStyle w:val="BodyText"/>
        <w:spacing w:before="0" w:after="240"/>
        <w:ind w:start="5040" w:end="0"/>
        <w:rPr>
          <w:color w:val="000000"/>
          <w:sz w:val="24"/>
          <w:szCs w:val="24"/>
          <w:lang w:val="en-GB"/>
        </w:rPr>
      </w:pPr>
      <w:bookmarkStart w:id="23" w:name="_DV_M18"/>
      <w:bookmarkEnd w:id="23"/>
      <w:r>
        <w:rPr>
          <w:color w:val="000000"/>
          <w:sz w:val="24"/>
          <w:szCs w:val="24"/>
          <w:lang w:val="en-GB"/>
        </w:rPr>
        <w:t>RECEIPT OF FUNDS ACKNOWLEDGED:</w:t>
      </w:r>
    </w:p>
    <w:p>
      <w:pPr>
        <w:pStyle w:val="BodyText"/>
        <w:spacing w:before="0" w:after="240"/>
        <w:jc w:val="both"/>
        <w:rPr>
          <w:color w:val="000000"/>
          <w:sz w:val="24"/>
          <w:szCs w:val="24"/>
          <w:lang w:val="en-GB"/>
        </w:rPr>
      </w:pPr>
      <w:bookmarkStart w:id="24" w:name="_DV_M19"/>
      <w:bookmarkEnd w:id="24"/>
      <w:r>
        <w:rPr>
          <w:color w:val="000000"/>
          <w:sz w:val="24"/>
          <w:szCs w:val="24"/>
          <w:lang w:val="en-GB"/>
        </w:rPr>
        <w:tab/>
        <w:tab/>
        <w:tab/>
        <w:tab/>
        <w:tab/>
        <w:tab/>
        <w:tab/>
        <w:t>GE PACKAGED POWER, INC.</w:t>
      </w:r>
    </w:p>
    <w:p>
      <w:pPr>
        <w:pStyle w:val="BodyText"/>
        <w:spacing w:before="0" w:after="240"/>
        <w:ind w:start="4920" w:end="0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spacing w:before="0" w:after="240"/>
        <w:ind w:start="4980" w:end="0"/>
        <w:jc w:val="both"/>
        <w:rPr>
          <w:color w:val="000000"/>
          <w:sz w:val="24"/>
          <w:szCs w:val="24"/>
          <w:lang w:val="en-GB"/>
        </w:rPr>
      </w:pPr>
      <w:bookmarkStart w:id="25" w:name="_DV_M20"/>
      <w:bookmarkEnd w:id="25"/>
      <w:r>
        <w:rPr>
          <w:color w:val="000000"/>
          <w:sz w:val="24"/>
          <w:szCs w:val="24"/>
          <w:lang w:val="en-GB"/>
        </w:rPr>
        <w:t>________________________</w:t>
        <w:br/>
        <w:t>By:</w:t>
        <w:br/>
        <w:t>Name:</w:t>
        <w:br/>
        <w:t>Title:</w:t>
      </w:r>
      <w:r>
        <w:br w:type="page"/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bookmarkStart w:id="26" w:name="_DV_M21"/>
      <w:bookmarkEnd w:id="26"/>
      <w:r>
        <w:rPr>
          <w:color w:val="000000"/>
          <w:sz w:val="24"/>
          <w:szCs w:val="24"/>
          <w:lang w:val="en-GB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27" w:name="_DV_M22"/>
      <w:bookmarkEnd w:id="27"/>
      <w:r>
        <w:rPr>
          <w:color w:val="000000"/>
          <w:sz w:val="24"/>
          <w:szCs w:val="24"/>
          <w:lang w:val="en-GB"/>
        </w:rPr>
        <w:t>JOHN HANCOCK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28" w:name="_DV_M23"/>
      <w:bookmarkEnd w:id="28"/>
      <w:r>
        <w:rPr>
          <w:color w:val="000000"/>
          <w:sz w:val="24"/>
          <w:szCs w:val="24"/>
          <w:lang w:val="en-GB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bookmarkStart w:id="29" w:name="_DV_M24"/>
      <w:bookmarkEnd w:id="29"/>
      <w:r>
        <w:rPr>
          <w:color w:val="000000"/>
          <w:sz w:val="24"/>
          <w:szCs w:val="24"/>
          <w:lang w:val="en-GB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30" w:name="_DV_M25"/>
      <w:bookmarkEnd w:id="30"/>
      <w:r>
        <w:rPr>
          <w:color w:val="000000"/>
          <w:sz w:val="24"/>
          <w:szCs w:val="24"/>
          <w:lang w:val="en-GB"/>
        </w:rPr>
        <w:t>JOHN HANCOCK VARIABLE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31" w:name="_DV_M26"/>
      <w:bookmarkEnd w:id="31"/>
      <w:r>
        <w:rPr>
          <w:color w:val="000000"/>
          <w:sz w:val="24"/>
          <w:szCs w:val="24"/>
          <w:lang w:val="en-GB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both"/>
        <w:rPr>
          <w:color w:val="000000"/>
          <w:sz w:val="24"/>
          <w:szCs w:val="24"/>
          <w:lang w:val="en-GB"/>
        </w:rPr>
      </w:pPr>
      <w:bookmarkStart w:id="32" w:name="_DV_M27"/>
      <w:bookmarkEnd w:id="32"/>
      <w:r>
        <w:rPr>
          <w:color w:val="000000"/>
          <w:sz w:val="24"/>
          <w:szCs w:val="24"/>
          <w:lang w:val="en-GB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33" w:name="_DV_M28"/>
      <w:bookmarkEnd w:id="33"/>
      <w:r>
        <w:rPr>
          <w:color w:val="000000"/>
          <w:sz w:val="24"/>
          <w:szCs w:val="24"/>
          <w:lang w:val="en-GB"/>
        </w:rPr>
        <w:t>ARCLIGHT ENERGY PARTNERS FUND I, L.P.</w:t>
        <w:br/>
        <w:t>(as Initial Purchaser under the Unit Purchase Agreement)</w:t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rPr>
          <w:color w:val="000000"/>
          <w:sz w:val="24"/>
          <w:szCs w:val="24"/>
          <w:lang w:val="en-GB"/>
        </w:rPr>
      </w:pPr>
      <w:bookmarkStart w:id="34" w:name="_DV_M29"/>
      <w:bookmarkEnd w:id="34"/>
      <w:r>
        <w:rPr>
          <w:color w:val="000000"/>
          <w:sz w:val="24"/>
          <w:szCs w:val="24"/>
          <w:lang w:val="en-GB"/>
        </w:rPr>
        <w:t>___________________________</w:t>
        <w:br/>
        <w:t>By:</w:t>
        <w:br/>
        <w:t>Name:</w:t>
        <w:br/>
        <w:t>Title: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800" w:right="1800" w:gutter="0" w:header="720" w:top="144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mbo">
    <w:altName w:val="GoudyOlSt BT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color w:val="008000"/>
        <w:lang w:val="en-CA" w:eastAsia="en-CA"/>
      </w:rPr>
      <w:t>NY003701.281</w:t>
    </w:r>
    <w:r>
      <w:rPr>
        <w:color w:val="000000"/>
      </w:rPr>
      <w:t>/</w:t>
    </w:r>
    <w:bookmarkStart w:id="35" w:name="_DV_C1"/>
    <w:r>
      <w:rPr>
        <w:rStyle w:val="DeltaViewDeletion"/>
      </w:rPr>
      <w:fldChar w:fldCharType="begin"/>
    </w:r>
    <w:r>
      <w:rPr>
        <w:rStyle w:val="DeltaViewDeletion"/>
      </w:rPr>
      <w:instrText xml:space="preserve"> SUBJECT </w:instrText>
    </w:r>
    <w:r>
      <w:rPr>
        <w:rStyle w:val="DeltaViewDeletion"/>
      </w:rPr>
      <w:fldChar w:fldCharType="separate"/>
    </w:r>
    <w:r>
      <w:rPr>
        <w:rStyle w:val="DeltaViewDeletion"/>
      </w:rPr>
      <w:t>8+</w:t>
    </w:r>
    <w:r>
      <w:rPr>
        <w:rStyle w:val="DeltaViewDeletion"/>
      </w:rPr>
      <w:fldChar w:fldCharType="end"/>
    </w:r>
    <w:bookmarkStart w:id="36" w:name="_DV_C2"/>
    <w:bookmarkEnd w:id="35"/>
    <w:r>
      <w:rPr>
        <w:rStyle w:val="DeltaViewInsertion"/>
      </w:rPr>
      <w:fldChar w:fldCharType="begin"/>
    </w:r>
    <w:r>
      <w:rPr>
        <w:rStyle w:val="DeltaViewInsertion"/>
      </w:rPr>
      <w:instrText xml:space="preserve"> SUBJECT </w:instrText>
    </w:r>
    <w:r>
      <w:rPr>
        <w:rStyle w:val="DeltaViewInsertion"/>
      </w:rPr>
      <w:fldChar w:fldCharType="separate"/>
    </w:r>
    <w:r>
      <w:rPr>
        <w:rStyle w:val="DeltaViewInsertion"/>
      </w:rPr>
      <w:t>8+</w:t>
    </w:r>
    <w:r>
      <w:rPr>
        <w:rStyle w:val="DeltaViewInsertion"/>
      </w:rPr>
      <w:fldChar w:fldCharType="end"/>
    </w:r>
    <w:bookmarkEnd w:id="36"/>
    <w:r>
      <w:rPr>
        <w:color w:val="000000"/>
      </w:rPr>
      <w:t xml:space="preserve">  (117784-0001)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color w:val="008000"/>
        <w:lang w:val="en-CA" w:eastAsia="en-CA"/>
      </w:rPr>
      <w:t>NY003701.281</w:t>
    </w:r>
    <w:r>
      <w:rPr>
        <w:color w:val="000000"/>
      </w:rPr>
      <w:t>/</w:t>
    </w:r>
    <w:bookmarkStart w:id="37" w:name="_DV_C3"/>
    <w:r>
      <w:rPr>
        <w:rStyle w:val="DeltaViewDeletion"/>
      </w:rPr>
      <w:fldChar w:fldCharType="begin"/>
    </w:r>
    <w:r>
      <w:rPr>
        <w:rStyle w:val="DeltaViewDeletion"/>
      </w:rPr>
      <w:instrText xml:space="preserve"> SUBJECT </w:instrText>
    </w:r>
    <w:r>
      <w:rPr>
        <w:rStyle w:val="DeltaViewDeletion"/>
      </w:rPr>
      <w:fldChar w:fldCharType="separate"/>
    </w:r>
    <w:r>
      <w:rPr>
        <w:rStyle w:val="DeltaViewDeletion"/>
      </w:rPr>
      <w:t>8+</w:t>
    </w:r>
    <w:r>
      <w:rPr>
        <w:rStyle w:val="DeltaViewDeletion"/>
      </w:rPr>
      <w:fldChar w:fldCharType="end"/>
    </w:r>
    <w:bookmarkStart w:id="38" w:name="_DV_C4"/>
    <w:bookmarkEnd w:id="37"/>
    <w:r>
      <w:rPr>
        <w:rStyle w:val="DeltaViewInsertion"/>
      </w:rPr>
      <w:fldChar w:fldCharType="begin"/>
    </w:r>
    <w:r>
      <w:rPr>
        <w:rStyle w:val="DeltaViewInsertion"/>
      </w:rPr>
      <w:instrText xml:space="preserve"> SUBJECT </w:instrText>
    </w:r>
    <w:r>
      <w:rPr>
        <w:rStyle w:val="DeltaViewInsertion"/>
      </w:rPr>
      <w:fldChar w:fldCharType="separate"/>
    </w:r>
    <w:r>
      <w:rPr>
        <w:rStyle w:val="DeltaViewInsertion"/>
      </w:rPr>
      <w:t>8+</w:t>
    </w:r>
    <w:r>
      <w:rPr>
        <w:rStyle w:val="DeltaViewInsertion"/>
      </w:rPr>
      <w:fldChar w:fldCharType="end"/>
    </w:r>
    <w:bookmarkEnd w:id="38"/>
    <w:r>
      <w:rPr>
        <w:color w:val="000000"/>
      </w:rPr>
      <w:t xml:space="preserve">  (117784-0001)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t xml:space="preserve">Blacklined (DeltaView), NY003701281/8+ compared with </w:t>
      <w:br/>
      <w:t>NY003701281/ 6 at 4/26/2001 5:41:14 PM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FF_Blackline" w:val="YES"/>
    <w:docVar w:name="FFCompareDoc1" w:val="NY003701281/8+"/>
    <w:docVar w:name="FFCompareDoc2" w:val="NY003701281/ 6"/>
    <w:docVar w:name="FFLANGUAGE" w:val="English (US)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Bembo;GoudyOlSt BT" w:hAnsi="Bembo;GoudyOlSt BT" w:eastAsia="Times New Roman" w:cs="Bembo;GoudyOlSt BT"/>
      <w:color w:val="auto"/>
      <w:sz w:val="26"/>
      <w:szCs w:val="26"/>
      <w:lang w:val="en-GB" w:bidi="ar-SA" w:eastAsia="zh-CN"/>
    </w:rPr>
  </w:style>
  <w:style w:type="paragraph" w:styleId="Heading1">
    <w:name w:val="heading 1"/>
    <w:basedOn w:val="BodyText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rFonts w:ascii="Bembo;GoudyOlSt BT" w:hAnsi="Bembo;GoudyOlSt BT" w:cs="Bembo;GoudyOlSt BT"/>
      <w:b/>
      <w:bCs/>
      <w:caps/>
      <w:sz w:val="26"/>
      <w:szCs w:val="26"/>
      <w:lang w:val="en-GB"/>
    </w:rPr>
  </w:style>
  <w:style w:type="paragraph" w:styleId="Heading2">
    <w:name w:val="heading 2"/>
    <w:basedOn w:val="BodyText"/>
    <w:next w:val="BodyText"/>
    <w:qFormat/>
    <w:pPr>
      <w:keepNext w:val="true"/>
      <w:keepLines/>
      <w:numPr>
        <w:ilvl w:val="1"/>
        <w:numId w:val="1"/>
      </w:numPr>
      <w:spacing w:before="0" w:after="240"/>
      <w:outlineLvl w:val="1"/>
    </w:pPr>
    <w:rPr>
      <w:rFonts w:ascii="Bembo;GoudyOlSt BT" w:hAnsi="Bembo;GoudyOlSt BT" w:cs="Bembo;GoudyOlSt BT"/>
      <w:b/>
      <w:bCs/>
      <w:smallCaps/>
      <w:sz w:val="26"/>
      <w:szCs w:val="26"/>
      <w:lang w:val="en-GB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0" w:after="240"/>
      <w:outlineLvl w:val="2"/>
    </w:pPr>
    <w:rPr>
      <w:b/>
      <w:bCs/>
    </w:rPr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outlineLvl w:val="3"/>
    </w:pPr>
    <w:rPr>
      <w:caps/>
    </w:rPr>
  </w:style>
  <w:style w:type="paragraph" w:styleId="Heading5">
    <w:name w:val="heading 5"/>
    <w:basedOn w:val="BodyText"/>
    <w:next w:val="BodyText"/>
    <w:qFormat/>
    <w:pPr>
      <w:keepNext w:val="true"/>
      <w:numPr>
        <w:ilvl w:val="4"/>
        <w:numId w:val="1"/>
      </w:numPr>
      <w:spacing w:before="0" w:after="240"/>
      <w:jc w:val="center"/>
      <w:outlineLvl w:val="4"/>
    </w:pPr>
    <w:rPr>
      <w:rFonts w:ascii="Bembo;GoudyOlSt BT" w:hAnsi="Bembo;GoudyOlSt BT" w:cs="Bembo;GoudyOlSt BT"/>
      <w:b/>
      <w:bCs/>
      <w:caps/>
      <w:sz w:val="26"/>
      <w:szCs w:val="26"/>
      <w:lang w:val="en-GB"/>
    </w:rPr>
  </w:style>
  <w:style w:type="paragraph" w:styleId="Heading6">
    <w:name w:val="heading 6"/>
    <w:basedOn w:val="BodyText"/>
    <w:next w:val="BodyText"/>
    <w:qFormat/>
    <w:pPr>
      <w:keepNext w:val="true"/>
      <w:numPr>
        <w:ilvl w:val="5"/>
        <w:numId w:val="1"/>
      </w:numPr>
      <w:spacing w:before="0" w:after="240"/>
      <w:jc w:val="center"/>
      <w:outlineLvl w:val="5"/>
    </w:pPr>
    <w:rPr>
      <w:rFonts w:ascii="Bembo;GoudyOlSt BT" w:hAnsi="Bembo;GoudyOlSt BT" w:cs="Bembo;GoudyOlSt BT"/>
      <w:b/>
      <w:bCs/>
      <w:sz w:val="26"/>
      <w:szCs w:val="26"/>
      <w:lang w:val="en-GB"/>
    </w:rPr>
  </w:style>
  <w:style w:type="paragraph" w:styleId="Heading7">
    <w:name w:val="heading 7"/>
    <w:basedOn w:val="Heading6"/>
    <w:next w:val="BodyText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7"/>
    <w:next w:val="BodyText"/>
    <w:qFormat/>
    <w:pPr>
      <w:numPr>
        <w:ilvl w:val="7"/>
        <w:numId w:val="1"/>
      </w:numPr>
      <w:outlineLvl w:val="7"/>
    </w:pPr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pacing w:val="0"/>
      <w:sz w:val="18"/>
      <w:szCs w:val="18"/>
      <w:vertAlign w:val="superscript"/>
    </w:rPr>
  </w:style>
  <w:style w:type="character" w:styleId="FootnoteCharacters">
    <w:name w:val="Footnote Characters"/>
    <w:basedOn w:val="DefaultParagraphFont"/>
    <w:qFormat/>
    <w:rPr>
      <w:rFonts w:ascii="Bembo;GoudyOlSt BT" w:hAnsi="Bembo;GoudyOlSt BT" w:cs="Bembo;GoudyOlSt BT"/>
      <w:spacing w:val="0"/>
      <w:sz w:val="18"/>
      <w:szCs w:val="18"/>
      <w:vertAlign w:val="superscript"/>
    </w:rPr>
  </w:style>
  <w:style w:type="character" w:styleId="PageNumber">
    <w:name w:val="page number"/>
    <w:basedOn w:val="DefaultParagraphFont"/>
    <w:rPr/>
  </w:style>
  <w:style w:type="character" w:styleId="zzmpTrailerItem">
    <w:name w:val="zzmpTrailerItem"/>
    <w:basedOn w:val="DefaultParagraphFont"/>
    <w:qFormat/>
    <w:rPr>
      <w:spacing w:val="0"/>
      <w:sz w:val="16"/>
      <w:szCs w:val="16"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character" w:styleId="DeltaViewDeletion">
    <w:name w:val="DeltaView Deletion"/>
    <w:qFormat/>
    <w:rPr>
      <w:strike/>
      <w:color w:val="FF0000"/>
      <w:spacing w:val="0"/>
    </w:rPr>
  </w:style>
  <w:style w:type="character" w:styleId="DeltaViewMoveSource">
    <w:name w:val="DeltaView Move Source"/>
    <w:qFormat/>
    <w:rPr>
      <w:strike/>
      <w:color w:val="00C000"/>
      <w:spacing w:val="0"/>
    </w:rPr>
  </w:style>
  <w:style w:type="character" w:styleId="DeltaViewMoveDestination">
    <w:name w:val="DeltaView Move Destination"/>
    <w:qFormat/>
    <w:rPr>
      <w:color w:val="00C000"/>
      <w:spacing w:val="0"/>
      <w:u w:val="double"/>
    </w:rPr>
  </w:style>
  <w:style w:type="character" w:styleId="DeltaViewChangeNumber">
    <w:name w:val="DeltaView Change Number"/>
    <w:qFormat/>
    <w:rPr>
      <w:color w:val="000000"/>
      <w:spacing w:val="0"/>
      <w:vertAlign w:val="superscript"/>
    </w:rPr>
  </w:style>
  <w:style w:type="character" w:styleId="DeltaViewDelimiter">
    <w:name w:val="DeltaView Delimiter"/>
    <w:qFormat/>
    <w:rPr>
      <w:spacing w:val="0"/>
    </w:rPr>
  </w:style>
  <w:style w:type="character" w:styleId="DeltaViewFormatChange">
    <w:name w:val="DeltaView Format Change"/>
    <w:qFormat/>
    <w:rPr>
      <w:color w:val="000000"/>
      <w:spacing w:val="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sz w:val="18"/>
      <w:szCs w:val="18"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>
      <w:spacing w:lineRule="exact" w:line="180" w:before="0" w:after="120"/>
      <w:ind w:firstLine="360" w:start="360" w:end="0"/>
    </w:pPr>
    <w:rPr>
      <w:sz w:val="18"/>
      <w:szCs w:val="18"/>
    </w:rPr>
  </w:style>
  <w:style w:type="paragraph" w:styleId="TOC3">
    <w:name w:val="toc 3"/>
    <w:basedOn w:val="BodyText"/>
    <w:next w:val="BodyText"/>
    <w:pPr>
      <w:numPr>
        <w:ilvl w:val="0"/>
        <w:numId w:val="2"/>
      </w:numPr>
      <w:tabs>
        <w:tab w:val="clear" w:pos="720"/>
        <w:tab w:val="right" w:pos="8309" w:leader="dot"/>
      </w:tabs>
      <w:ind w:hanging="0" w:start="432" w:end="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TOC8">
    <w:name w:val="toc 8"/>
    <w:basedOn w:val="TOC3"/>
    <w:pPr/>
    <w:rPr/>
  </w:style>
  <w:style w:type="paragraph" w:styleId="TOC7">
    <w:name w:val="toc 7"/>
    <w:basedOn w:val="TOC3"/>
    <w:pPr/>
    <w:rPr/>
  </w:style>
  <w:style w:type="paragraph" w:styleId="TOC6">
    <w:name w:val="toc 6"/>
    <w:basedOn w:val="TOC3"/>
    <w:pPr/>
    <w:rPr/>
  </w:style>
  <w:style w:type="paragraph" w:styleId="TOC5">
    <w:name w:val="toc 5"/>
    <w:basedOn w:val="TOC3"/>
    <w:pPr>
      <w:spacing w:before="120" w:after="120"/>
      <w:ind w:hanging="0" w:start="0" w:end="0"/>
    </w:pPr>
    <w:rPr>
      <w:caps/>
    </w:rPr>
  </w:style>
  <w:style w:type="paragraph" w:styleId="TOC4">
    <w:name w:val="toc 4"/>
    <w:basedOn w:val="BodyText"/>
    <w:next w:val="BodyText"/>
    <w:pPr>
      <w:numPr>
        <w:ilvl w:val="0"/>
        <w:numId w:val="3"/>
      </w:numPr>
      <w:tabs>
        <w:tab w:val="clear" w:pos="720"/>
        <w:tab w:val="right" w:pos="8063" w:leader="dot"/>
      </w:tabs>
      <w:spacing w:before="0" w:after="240"/>
      <w:ind w:hanging="0" w:start="720" w:end="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TOC2">
    <w:name w:val="toc 2"/>
    <w:basedOn w:val="BodyText"/>
    <w:next w:val="BodyText"/>
    <w:pPr>
      <w:numPr>
        <w:ilvl w:val="0"/>
        <w:numId w:val="4"/>
      </w:numPr>
      <w:tabs>
        <w:tab w:val="clear" w:pos="720"/>
        <w:tab w:val="right" w:pos="8309" w:leader="dot"/>
      </w:tabs>
      <w:spacing w:before="120" w:after="120"/>
      <w:ind w:hanging="432" w:start="432" w:end="0"/>
    </w:pPr>
    <w:rPr>
      <w:rFonts w:ascii="Bembo;GoudyOlSt BT" w:hAnsi="Bembo;GoudyOlSt BT" w:cs="Bembo;GoudyOlSt BT"/>
      <w:smallCaps/>
      <w:sz w:val="26"/>
      <w:szCs w:val="26"/>
      <w:lang w:val="en-GB"/>
    </w:rPr>
  </w:style>
  <w:style w:type="paragraph" w:styleId="TOC1">
    <w:name w:val="toc 1"/>
    <w:basedOn w:val="BodyText"/>
    <w:next w:val="BodyText"/>
    <w:pPr>
      <w:keepNext w:val="true"/>
      <w:numPr>
        <w:ilvl w:val="0"/>
        <w:numId w:val="5"/>
      </w:numPr>
      <w:tabs>
        <w:tab w:val="clear" w:pos="720"/>
        <w:tab w:val="right" w:pos="8063" w:leader="dot"/>
      </w:tabs>
      <w:spacing w:before="120" w:after="120"/>
    </w:pPr>
    <w:rPr>
      <w:rFonts w:ascii="Bembo;GoudyOlSt BT" w:hAnsi="Bembo;GoudyOlSt BT" w:cs="Bembo;GoudyOlSt BT"/>
      <w:caps/>
      <w:sz w:val="26"/>
      <w:szCs w:val="26"/>
      <w:lang w:val="en-GB"/>
    </w:rPr>
  </w:style>
  <w:style w:type="paragraph" w:styleId="Index1">
    <w:name w:val="index 1"/>
    <w:basedOn w:val="Normal"/>
    <w:next w:val="Normal"/>
    <w:pPr/>
    <w:rPr/>
  </w:style>
  <w:style w:type="paragraph" w:styleId="IndexHeading">
    <w:name w:val="index heading"/>
    <w:basedOn w:val="Normal"/>
    <w:next w:val="Index1"/>
    <w:pPr>
      <w:spacing w:before="0" w:after="480"/>
      <w:jc w:val="center"/>
    </w:pPr>
    <w:rPr>
      <w:b/>
      <w:bCs/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right" w:pos="8280" w:leader="none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lear" w:pos="720"/>
        <w:tab w:val="right" w:pos="8280" w:leader="none"/>
      </w:tabs>
    </w:pPr>
    <w:rPr>
      <w:sz w:val="18"/>
      <w:szCs w:val="18"/>
    </w:rPr>
  </w:style>
  <w:style w:type="paragraph" w:styleId="FootnoteText">
    <w:name w:val="footnote text"/>
    <w:basedOn w:val="BodyText"/>
    <w:pPr>
      <w:spacing w:before="0" w:after="120"/>
      <w:ind w:hanging="187" w:start="187" w:end="0"/>
      <w:jc w:val="both"/>
    </w:pPr>
    <w:rPr>
      <w:rFonts w:ascii="Bembo;GoudyOlSt BT" w:hAnsi="Bembo;GoudyOlSt BT" w:cs="Bembo;GoudyOlSt BT"/>
      <w:sz w:val="22"/>
      <w:szCs w:val="22"/>
      <w:lang w:val="en-GB"/>
    </w:rPr>
  </w:style>
  <w:style w:type="paragraph" w:styleId="NormalIndent">
    <w:name w:val="Normal Indent"/>
    <w:basedOn w:val="Normal"/>
    <w:qFormat/>
    <w:pPr>
      <w:spacing w:before="0" w:after="240"/>
    </w:pPr>
    <w:rPr/>
  </w:style>
  <w:style w:type="paragraph" w:styleId="a">
    <w:name w:val="(a)"/>
    <w:basedOn w:val="BodyText"/>
    <w:qFormat/>
    <w:pPr>
      <w:spacing w:before="0" w:after="240"/>
      <w:ind w:hanging="720" w:start="720" w:end="0"/>
      <w:jc w:val="both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i">
    <w:name w:val="(i)"/>
    <w:basedOn w:val="a"/>
    <w:qFormat/>
    <w:pPr>
      <w:tabs>
        <w:tab w:val="clear" w:pos="720"/>
        <w:tab w:val="right" w:pos="1296" w:leader="none"/>
      </w:tabs>
      <w:ind w:hanging="1440" w:start="1440" w:end="0"/>
    </w:pPr>
    <w:rPr/>
  </w:style>
  <w:style w:type="paragraph" w:styleId="indexhead2">
    <w:name w:val="index head2"/>
    <w:basedOn w:val="BodyText"/>
    <w:qFormat/>
    <w:pPr>
      <w:tabs>
        <w:tab w:val="clear" w:pos="720"/>
        <w:tab w:val="right" w:pos="8301" w:leader="none"/>
      </w:tabs>
      <w:spacing w:before="0" w:after="240"/>
      <w:jc w:val="both"/>
    </w:pPr>
    <w:rPr>
      <w:rFonts w:ascii="Bembo;GoudyOlSt BT" w:hAnsi="Bembo;GoudyOlSt BT" w:cs="Bembo;GoudyOlSt BT"/>
      <w:b/>
      <w:bCs/>
      <w:sz w:val="26"/>
      <w:szCs w:val="26"/>
      <w:lang w:val="en-GB"/>
    </w:rPr>
  </w:style>
  <w:style w:type="paragraph" w:styleId="ParaHeading">
    <w:name w:val="ParaHeading"/>
    <w:basedOn w:val="BodyText"/>
    <w:next w:val="BodyText"/>
    <w:qFormat/>
    <w:pPr>
      <w:keepNext w:val="true"/>
      <w:spacing w:before="0" w:after="240"/>
    </w:pPr>
    <w:rPr>
      <w:rFonts w:ascii="Bembo;GoudyOlSt BT" w:hAnsi="Bembo;GoudyOlSt BT" w:cs="Bembo;GoudyOlSt BT"/>
      <w:b/>
      <w:bCs/>
      <w:sz w:val="26"/>
      <w:szCs w:val="26"/>
      <w:lang w:val="en-GB"/>
    </w:rPr>
  </w:style>
  <w:style w:type="paragraph" w:styleId="A1">
    <w:name w:val="A"/>
    <w:basedOn w:val="a"/>
    <w:qFormat/>
    <w:pPr>
      <w:ind w:hanging="432" w:start="1872" w:end="0"/>
    </w:pPr>
    <w:rPr/>
  </w:style>
  <w:style w:type="paragraph" w:styleId="Sealing">
    <w:name w:val="Sealing"/>
    <w:basedOn w:val="BodyText"/>
    <w:qFormat/>
    <w:pPr>
      <w:keepLines/>
      <w:tabs>
        <w:tab w:val="clear" w:pos="720"/>
        <w:tab w:val="left" w:pos="1728" w:leader="none"/>
        <w:tab w:val="left" w:pos="4320" w:leader="none"/>
      </w:tabs>
      <w:spacing w:before="0" w:after="48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footer2">
    <w:name w:val="footer2"/>
    <w:basedOn w:val="Footer"/>
    <w:qFormat/>
    <w:pPr>
      <w:tabs>
        <w:tab w:val="clear" w:pos="8280"/>
        <w:tab w:val="right" w:pos="8064" w:leader="none"/>
      </w:tabs>
    </w:pPr>
    <w:rPr/>
  </w:style>
  <w:style w:type="paragraph" w:styleId="pmf">
    <w:name w:val="pmf"/>
    <w:basedOn w:val="BodyText"/>
    <w:qFormat/>
    <w:pPr>
      <w:spacing w:before="0" w:after="240"/>
      <w:jc w:val="both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Yourref">
    <w:name w:val="Yourref"/>
    <w:basedOn w:val="Normal"/>
    <w:next w:val="Date"/>
    <w:qFormat/>
    <w:pPr>
      <w:tabs>
        <w:tab w:val="clear" w:pos="720"/>
        <w:tab w:val="left" w:pos="1440" w:leader="none"/>
      </w:tabs>
      <w:spacing w:before="0" w:after="840"/>
      <w:jc w:val="end"/>
    </w:pPr>
    <w:rPr>
      <w:sz w:val="18"/>
      <w:szCs w:val="18"/>
    </w:rPr>
  </w:style>
  <w:style w:type="paragraph" w:styleId="Date">
    <w:name w:val="Date"/>
    <w:basedOn w:val="Normal"/>
    <w:qFormat/>
    <w:pPr>
      <w:spacing w:before="0" w:after="240"/>
      <w:jc w:val="end"/>
    </w:pPr>
    <w:rPr/>
  </w:style>
  <w:style w:type="paragraph" w:styleId="Yours">
    <w:name w:val="Yours"/>
    <w:basedOn w:val="BodyText"/>
    <w:next w:val="Author"/>
    <w:qFormat/>
    <w:pPr>
      <w:keepNext w:val="true"/>
      <w:spacing w:before="0" w:after="1200"/>
      <w:jc w:val="both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ys">
    <w:name w:val="ys"/>
    <w:basedOn w:val="Yours"/>
    <w:next w:val="Author"/>
    <w:qFormat/>
    <w:pPr>
      <w:spacing w:before="0" w:after="240"/>
    </w:pPr>
    <w:rPr/>
  </w:style>
  <w:style w:type="paragraph" w:styleId="Author">
    <w:name w:val="Author"/>
    <w:basedOn w:val="ys"/>
    <w:qFormat/>
    <w:pPr>
      <w:spacing w:before="0" w:after="0"/>
    </w:pPr>
    <w:rPr/>
  </w:style>
  <w:style w:type="paragraph" w:styleId="Ourref">
    <w:name w:val="Ourref"/>
    <w:basedOn w:val="Normal"/>
    <w:next w:val="Y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  <w:szCs w:val="18"/>
    </w:rPr>
  </w:style>
  <w:style w:type="paragraph" w:styleId="Address">
    <w:name w:val="Address"/>
    <w:basedOn w:val="BodyText"/>
    <w:qFormat/>
    <w:pPr>
      <w:spacing w:before="0" w:after="72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DirectDial">
    <w:name w:val="Direct Dial"/>
    <w:basedOn w:val="Normal"/>
    <w:next w:val="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  <w:szCs w:val="18"/>
    </w:rPr>
  </w:style>
  <w:style w:type="paragraph" w:styleId="Dear">
    <w:name w:val="Dear"/>
    <w:basedOn w:val="Normal"/>
    <w:next w:val="BodyText"/>
    <w:qFormat/>
    <w:pPr>
      <w:spacing w:before="0" w:after="240"/>
      <w:jc w:val="both"/>
    </w:pPr>
    <w:rPr/>
  </w:style>
  <w:style w:type="paragraph" w:styleId="EnvelopeAddress">
    <w:name w:val="envelope address"/>
    <w:basedOn w:val="Normal"/>
    <w:pPr>
      <w:keepNext w:val="true"/>
      <w:keepLines/>
      <w:ind w:hanging="0" w:start="2880" w:end="0"/>
    </w:pPr>
    <w:rPr/>
  </w:style>
  <w:style w:type="paragraph" w:styleId="ByHand">
    <w:name w:val="ByHand"/>
    <w:basedOn w:val="BodyText"/>
    <w:next w:val="Address"/>
    <w:qFormat/>
    <w:pPr/>
    <w:rPr>
      <w:rFonts w:ascii="Bembo;GoudyOlSt BT" w:hAnsi="Bembo;GoudyOlSt BT" w:cs="Bembo;GoudyOlSt BT"/>
      <w:sz w:val="26"/>
      <w:szCs w:val="26"/>
      <w:lang w:val="en-GB"/>
    </w:rPr>
  </w:style>
  <w:style w:type="paragraph" w:styleId="MarginalNote">
    <w:name w:val="Marginal Note"/>
    <w:basedOn w:val="BodyText"/>
    <w:next w:val="BodyText"/>
    <w:qFormat/>
    <w:pPr>
      <w:keepNext w:val="true"/>
      <w:keepLines/>
      <w:spacing w:lineRule="exact" w:line="180" w:before="40" w:after="0"/>
    </w:pPr>
    <w:rPr>
      <w:rFonts w:ascii="Bembo;GoudyOlSt BT" w:hAnsi="Bembo;GoudyOlSt BT" w:cs="Bembo;GoudyOlSt BT"/>
      <w:b/>
      <w:bCs/>
      <w:lang w:val="en-GB"/>
    </w:rPr>
  </w:style>
  <w:style w:type="paragraph" w:styleId="TOC9">
    <w:name w:val="toc 9"/>
    <w:basedOn w:val="TOC3"/>
    <w:next w:val="Normal"/>
    <w:pPr/>
    <w:rPr/>
  </w:style>
  <w:style w:type="paragraph" w:styleId="Label">
    <w:name w:val="Label"/>
    <w:basedOn w:val="BodyText"/>
    <w:qFormat/>
    <w:pPr>
      <w:spacing w:before="240" w:after="120"/>
      <w:ind w:hanging="0" w:start="284" w:end="0"/>
    </w:pPr>
    <w:rPr>
      <w:rFonts w:ascii="Bembo;GoudyOlSt BT" w:hAnsi="Bembo;GoudyOlSt BT" w:cs="Bembo;GoudyOlSt BT"/>
      <w:sz w:val="26"/>
      <w:szCs w:val="26"/>
      <w:lang w:val="en-GB"/>
    </w:rPr>
  </w:style>
  <w:style w:type="paragraph" w:styleId="DeltaViewTableHeading">
    <w:name w:val="DeltaView Table Heading"/>
    <w:basedOn w:val="Normal"/>
    <w:qFormat/>
    <w:pPr>
      <w:spacing w:before="0" w:after="120"/>
    </w:pPr>
    <w:rPr>
      <w:rFonts w:ascii="Arial" w:hAnsi="Arial" w:cs="Arial"/>
      <w:b/>
      <w:bCs/>
      <w:sz w:val="24"/>
      <w:szCs w:val="24"/>
      <w:lang w:val="en-US"/>
    </w:rPr>
  </w:style>
  <w:style w:type="paragraph" w:styleId="DeltaViewTableBody">
    <w:name w:val="DeltaView Table Body"/>
    <w:basedOn w:val="Normal"/>
    <w:qFormat/>
    <w:pPr/>
    <w:rPr>
      <w:rFonts w:ascii="Arial" w:hAnsi="Arial" w:cs="Arial"/>
      <w:sz w:val="24"/>
      <w:szCs w:val="24"/>
      <w:lang w:val="en-US"/>
    </w:rPr>
  </w:style>
  <w:style w:type="paragraph" w:styleId="DeltaViewAnnounce">
    <w:name w:val="DeltaView Announce"/>
    <w:qFormat/>
    <w:pPr>
      <w:widowControl/>
      <w:autoSpaceDE w:val="false"/>
      <w:bidi w:val="0"/>
      <w:spacing w:before="100" w:after="100"/>
    </w:pPr>
    <w:rPr>
      <w:rFonts w:ascii="Arial" w:hAnsi="Arial" w:eastAsia="Times New Roman" w:cs="Arial"/>
      <w:color w:val="auto"/>
      <w:sz w:val="24"/>
      <w:szCs w:val="24"/>
      <w:lang w:val="en-GB" w:bidi="ar-SA" w:eastAsia="zh-C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4"/>
      <w:szCs w:val="24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AME-FRE-AME-DOC.DOT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2001-04-26T19:11:00Z</dcterms:created>
  <dc:creator>Duran, Jennifer</dc:creator>
  <dc:description>CURRY, ALICIAÿþNEW YORKýCIBC OPPENHEIMER CORP                                                           üûúùDocumentsøNY÷Triton Partners CBOöõGENERAL USERSôSTANDARDó19òFF-UDOC.DOTñ</dc:description>
  <cp:keywords>109489-0001</cp:keywords>
  <dc:language>en-CA</dc:language>
  <cp:lastModifiedBy>Freshfields Bruckhaus Deringer LLP</cp:lastModifiedBy>
  <cp:lastPrinted>2001-04-26T17:06:00Z</cp:lastPrinted>
  <dcterms:modified xsi:type="dcterms:W3CDTF">2001-04-26T19:11:00Z</dcterms:modified>
  <cp:revision>2</cp:revision>
  <dc:subject>8+</dc:subject>
  <dc:title>ISSUER CERTIFICATE - 3.1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View Info">
    <vt:lpwstr/>
  </property>
  <property fmtid="{D5CDD505-2E9C-101B-9397-08002B2CF9AE}" pid="3" name="ClearView IsDirty">
    <vt:lpwstr/>
  </property>
  <property fmtid="{D5CDD505-2E9C-101B-9397-08002B2CF9AE}" pid="4" name="Date Sent">
    <vt:r8>5</vt:r8>
  </property>
  <property fmtid="{D5CDD505-2E9C-101B-9397-08002B2CF9AE}" pid="5" name="DeltaView File">
    <vt:bool>1</vt:bool>
  </property>
</Properties>
</file>