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8" w:before="280" w:after="280"/>
        <w:jc w:val="center"/>
        <w:rPr/>
      </w:pPr>
      <w:r>
        <w:rPr>
          <w:rFonts w:eastAsia="Times New Roman"/>
        </w:rPr>
        <w:t xml:space="preserve"> </w:t>
      </w:r>
      <w:r>
        <w:rPr/>
        <w:t>[Letterhead of GE Packaged Power, Inc.]</w:t>
      </w:r>
    </w:p>
    <w:p>
      <w:pPr>
        <w:pStyle w:val="BodyText"/>
        <w:spacing w:lineRule="auto" w:line="278" w:before="280" w:after="280"/>
        <w:jc w:val="start"/>
        <w:rPr>
          <w:color w:val="000000"/>
        </w:rPr>
      </w:pPr>
      <w:bookmarkStart w:id="0" w:name="_DV_C11"/>
      <w:r>
        <w:rPr>
          <w:rStyle w:val="DeltaViewDeletion"/>
        </w:rPr>
        <w:t>[   ],</w:t>
      </w:r>
      <w:bookmarkEnd w:id="0"/>
    </w:p>
    <w:p>
      <w:pPr>
        <w:pStyle w:val="BodyText"/>
        <w:spacing w:lineRule="auto" w:line="278" w:before="280" w:after="280"/>
        <w:jc w:val="start"/>
        <w:rPr>
          <w:color w:val="000000"/>
        </w:rPr>
      </w:pPr>
      <w:bookmarkStart w:id="1" w:name="_DV_C12"/>
      <w:bookmarkStart w:id="2" w:name="_DV_IPM0"/>
      <w:bookmarkEnd w:id="2"/>
      <w:r>
        <w:rPr>
          <w:rStyle w:val="DeltaViewInsertion"/>
        </w:rPr>
        <w:t>April       ,</w:t>
      </w:r>
      <w:bookmarkEnd w:id="1"/>
      <w:r>
        <w:rPr>
          <w:color w:val="000000"/>
        </w:rPr>
        <w:t xml:space="preserve"> </w:t>
      </w:r>
      <w:bookmarkStart w:id="3" w:name="_DV_C13"/>
      <w:r>
        <w:rPr>
          <w:rStyle w:val="DeltaViewDeletion"/>
        </w:rPr>
        <w:t>2001</w:t>
      </w:r>
      <w:bookmarkStart w:id="4" w:name="_DV_C14"/>
      <w:bookmarkEnd w:id="3"/>
      <w:r>
        <w:rPr>
          <w:rStyle w:val="DeltaViewInsertion"/>
        </w:rPr>
        <w:t>2001</w:t>
      </w:r>
      <w:bookmarkEnd w:id="4"/>
      <w:r>
        <w:rPr>
          <w:color w:val="000000"/>
        </w:rPr>
        <w:br/>
      </w:r>
      <w:bookmarkStart w:id="5" w:name="_DV_C15"/>
      <w:r>
        <w:rPr>
          <w:rStyle w:val="DeltaViewDeletion"/>
        </w:rPr>
        <w:t>[</w:t>
      </w:r>
      <w:r>
        <w:rPr>
          <w:rStyle w:val="DeltaViewDeletion"/>
          <w:b/>
          <w:bCs/>
          <w:i/>
          <w:iCs/>
        </w:rPr>
        <w:t>Date of execution of Turbine Contract and GE Packaged Power Consent</w:t>
      </w:r>
      <w:r>
        <w:rPr>
          <w:rStyle w:val="DeltaViewDeletion"/>
        </w:rPr>
        <w:t>]</w:t>
      </w:r>
      <w:bookmarkEnd w:id="5"/>
    </w:p>
    <w:p>
      <w:pPr>
        <w:pStyle w:val="BodyText"/>
        <w:spacing w:lineRule="auto" w:line="278" w:before="280" w:after="280"/>
        <w:jc w:val="start"/>
        <w:rPr/>
      </w:pPr>
      <w:bookmarkStart w:id="6" w:name="_DV_M1"/>
      <w:bookmarkEnd w:id="6"/>
      <w:r>
        <w:rPr>
          <w:color w:val="000000"/>
        </w:rPr>
        <w:t>To the Purchasers party</w:t>
        <w:br/>
        <w:t>to the</w:t>
      </w:r>
      <w:bookmarkStart w:id="7" w:name="_DV_C16"/>
      <w:r>
        <w:rPr>
          <w:rStyle w:val="DeltaViewDeletion"/>
        </w:rPr>
        <w:t xml:space="preserve"> Note</w:t>
      </w:r>
      <w:bookmarkStart w:id="8" w:name="_DV_M2"/>
      <w:bookmarkEnd w:id="7"/>
      <w:bookmarkEnd w:id="8"/>
      <w:r>
        <w:rPr>
          <w:color w:val="000000"/>
        </w:rPr>
        <w:t xml:space="preserve"> Purchase Agreement</w:t>
        <w:br/>
        <w:t xml:space="preserve">referred to below and </w:t>
        <w:br/>
        <w:t>The Chase Manhattan Bank, as Collateral</w:t>
        <w:br/>
        <w:t>Agent for the Purchasers</w:t>
      </w:r>
    </w:p>
    <w:p>
      <w:pPr>
        <w:pStyle w:val="BodyText"/>
        <w:spacing w:lineRule="auto" w:line="278" w:before="280" w:after="280"/>
        <w:jc w:val="start"/>
        <w:rPr>
          <w:color w:val="000000"/>
        </w:rPr>
      </w:pPr>
      <w:bookmarkStart w:id="9" w:name="_DV_M3"/>
      <w:bookmarkEnd w:id="9"/>
      <w:r>
        <w:rPr>
          <w:color w:val="000000"/>
        </w:rPr>
        <w:t>Ladies and Gentlemen:</w:t>
      </w:r>
    </w:p>
    <w:p>
      <w:pPr>
        <w:pStyle w:val="BodyText"/>
        <w:rPr/>
      </w:pPr>
      <w:bookmarkStart w:id="10" w:name="_DV_M4"/>
      <w:bookmarkStart w:id="11" w:name="Start"/>
      <w:bookmarkEnd w:id="10"/>
      <w:bookmarkEnd w:id="11"/>
      <w:r>
        <w:rPr>
          <w:color w:val="000000"/>
        </w:rPr>
        <w:t xml:space="preserve">I am </w:t>
      </w:r>
      <w:bookmarkStart w:id="12" w:name="_DV_C17"/>
      <w:r>
        <w:rPr>
          <w:rStyle w:val="DeltaViewDeletion"/>
        </w:rPr>
        <w:t>[</w:t>
      </w:r>
      <w:bookmarkStart w:id="13" w:name="_DV_M5"/>
      <w:bookmarkEnd w:id="12"/>
      <w:bookmarkEnd w:id="13"/>
      <w:r>
        <w:rPr>
          <w:color w:val="000000"/>
        </w:rPr>
        <w:t>General Counsel</w:t>
      </w:r>
      <w:bookmarkStart w:id="14" w:name="_DV_C18"/>
      <w:r>
        <w:rPr>
          <w:rStyle w:val="DeltaViewDeletion"/>
        </w:rPr>
        <w:t>]</w:t>
      </w:r>
      <w:bookmarkStart w:id="15" w:name="_DV_M6"/>
      <w:bookmarkEnd w:id="14"/>
      <w:bookmarkEnd w:id="15"/>
      <w:r>
        <w:rPr>
          <w:color w:val="000000"/>
        </w:rPr>
        <w:t xml:space="preserve"> of GE Packaged Power, Inc. (</w:t>
      </w:r>
      <w:r>
        <w:rPr>
          <w:b/>
          <w:bCs/>
          <w:i/>
          <w:iCs/>
          <w:color w:val="000000"/>
        </w:rPr>
        <w:t>GE Packaged Power</w:t>
      </w:r>
      <w:r>
        <w:rPr>
          <w:color w:val="000000"/>
        </w:rPr>
        <w:t>) and have acted as counsel in connection with the acquisition by Salmon Energy, LLC, a Delaware limited liability company (</w:t>
      </w:r>
      <w:r>
        <w:rPr>
          <w:b/>
          <w:bCs/>
          <w:i/>
          <w:iCs/>
          <w:color w:val="000000"/>
        </w:rPr>
        <w:t>Salmon Energy</w:t>
      </w:r>
      <w:r>
        <w:rPr>
          <w:color w:val="000000"/>
        </w:rPr>
        <w:t xml:space="preserve">) from GE Packaged Power (the </w:t>
      </w:r>
      <w:r>
        <w:rPr>
          <w:b/>
          <w:bCs/>
          <w:i/>
          <w:iCs/>
          <w:color w:val="000000"/>
        </w:rPr>
        <w:t>Turbine Acquisition</w:t>
      </w:r>
      <w:r>
        <w:rPr>
          <w:color w:val="000000"/>
        </w:rPr>
        <w:t xml:space="preserve">) of four LM 6000 Enhanced Sprint Gas Turbine Generator Sets (the </w:t>
      </w:r>
      <w:r>
        <w:rPr>
          <w:b/>
          <w:bCs/>
          <w:i/>
          <w:iCs/>
          <w:color w:val="000000"/>
        </w:rPr>
        <w:t>Turbines</w:t>
      </w:r>
      <w:r>
        <w:rPr>
          <w:color w:val="000000"/>
        </w:rPr>
        <w:t xml:space="preserve">).  </w:t>
      </w:r>
      <w:bookmarkStart w:id="16" w:name="_DV_C19"/>
      <w:r>
        <w:rPr>
          <w:rStyle w:val="DeltaViewDeletion"/>
        </w:rPr>
        <w:t xml:space="preserve">The Turbine Acquisition is being financed through </w:t>
      </w:r>
      <w:bookmarkStart w:id="17" w:name="_DV_C20"/>
      <w:bookmarkEnd w:id="16"/>
      <w:r>
        <w:rPr>
          <w:rStyle w:val="DeltaViewInsertion"/>
        </w:rPr>
        <w:t>Pursuant to a Purchase Agreement (</w:t>
      </w:r>
      <w:bookmarkStart w:id="18" w:name="_DV_M7"/>
      <w:bookmarkEnd w:id="17"/>
      <w:bookmarkEnd w:id="18"/>
      <w:r>
        <w:rPr>
          <w:color w:val="000000"/>
        </w:rPr>
        <w:t xml:space="preserve">the </w:t>
      </w:r>
      <w:bookmarkStart w:id="19" w:name="_DV_C21"/>
      <w:r>
        <w:rPr>
          <w:rStyle w:val="DeltaViewDeletion"/>
        </w:rPr>
        <w:t>issuance by</w:t>
      </w:r>
      <w:bookmarkEnd w:id="19"/>
      <w:r>
        <w:rPr>
          <w:rStyle w:val="DeltaViewDeletion"/>
        </w:rPr>
        <w:t xml:space="preserve"> Floating Rate Senior Secured Notes in an aggregate principal amount of $45,000,000 (the </w:t>
      </w:r>
      <w:r>
        <w:rPr>
          <w:rStyle w:val="DeltaViewDeletion"/>
          <w:b/>
          <w:bCs/>
          <w:i/>
          <w:iCs/>
        </w:rPr>
        <w:t>Senior Notes</w:t>
      </w:r>
      <w:r>
        <w:rPr>
          <w:rStyle w:val="DeltaViewDeletion"/>
        </w:rPr>
        <w:t xml:space="preserve">) and (b) Floating Rate Subordinated Convertible Notes in an aggregate principal amount of $25,000,000 (the </w:t>
      </w:r>
      <w:r>
        <w:rPr>
          <w:rStyle w:val="DeltaViewDeletion"/>
          <w:b/>
          <w:bCs/>
          <w:i/>
          <w:iCs/>
        </w:rPr>
        <w:t>Subordinated Notes</w:t>
      </w:r>
      <w:r>
        <w:rPr>
          <w:rStyle w:val="DeltaViewDeletion"/>
        </w:rPr>
        <w:t xml:space="preserve"> and, together with the Senior Notes, the </w:t>
      </w:r>
      <w:r>
        <w:rPr>
          <w:rStyle w:val="DeltaViewDeletion"/>
          <w:b/>
          <w:bCs/>
          <w:i/>
          <w:iCs/>
        </w:rPr>
        <w:t>Notes</w:t>
      </w:r>
      <w:r>
        <w:rPr>
          <w:rStyle w:val="DeltaViewDeletion"/>
        </w:rPr>
        <w:t xml:space="preserve">) pursuant to a Note Purchase Agreement dated [April 19], 2001 (the </w:t>
      </w:r>
      <w:r>
        <w:rPr>
          <w:rStyle w:val="DeltaViewDeletion"/>
          <w:b/>
          <w:bCs/>
          <w:i/>
          <w:iCs/>
        </w:rPr>
        <w:t xml:space="preserve">Note </w:t>
      </w:r>
      <w:bookmarkStart w:id="20" w:name="_DV_C22"/>
      <w:bookmarkStart w:id="21" w:name="_DV_X28"/>
      <w:r>
        <w:rPr>
          <w:rStyle w:val="DeltaViewMoveDestination"/>
          <w:b/>
          <w:bCs/>
          <w:i/>
          <w:iCs/>
        </w:rPr>
        <w:t>Purchase Agreement</w:t>
      </w:r>
      <w:r>
        <w:rPr>
          <w:rStyle w:val="DeltaViewMoveDestination"/>
        </w:rPr>
        <w:t>) between</w:t>
      </w:r>
      <w:bookmarkStart w:id="22" w:name="_DV_M8"/>
      <w:bookmarkEnd w:id="20"/>
      <w:bookmarkEnd w:id="21"/>
      <w:bookmarkEnd w:id="22"/>
      <w:r>
        <w:rPr>
          <w:color w:val="000000"/>
        </w:rPr>
        <w:t xml:space="preserve"> Pegasus Power, LLC, a Delaware limited liability company (</w:t>
      </w:r>
      <w:r>
        <w:rPr>
          <w:b/>
          <w:bCs/>
          <w:i/>
          <w:iCs/>
          <w:color w:val="000000"/>
        </w:rPr>
        <w:t>Pegasus</w:t>
      </w:r>
      <w:r>
        <w:rPr>
          <w:color w:val="000000"/>
        </w:rPr>
        <w:t xml:space="preserve">) </w:t>
      </w:r>
      <w:bookmarkStart w:id="23" w:name="_DV_C23"/>
      <w:r>
        <w:rPr>
          <w:rStyle w:val="DeltaViewDeletion"/>
        </w:rPr>
        <w:t>of its</w:t>
      </w:r>
      <w:bookmarkStart w:id="24" w:name="_DV_C24"/>
      <w:bookmarkEnd w:id="23"/>
      <w:r>
        <w:rPr>
          <w:rStyle w:val="DeltaViewInsertion"/>
        </w:rPr>
        <w:t>and the Purchasers party thereto</w:t>
      </w:r>
      <w:bookmarkStart w:id="25" w:name="_DV_M9"/>
      <w:bookmarkEnd w:id="24"/>
      <w:bookmarkEnd w:id="25"/>
      <w:r>
        <w:rPr>
          <w:color w:val="000000"/>
        </w:rPr>
        <w:t xml:space="preserve"> (</w:t>
      </w:r>
      <w:bookmarkStart w:id="26" w:name="_DV_C25"/>
      <w:r>
        <w:rPr>
          <w:rStyle w:val="DeltaViewDeletion"/>
        </w:rPr>
        <w:t>a</w:t>
      </w:r>
      <w:bookmarkStart w:id="27" w:name="_DV_C26"/>
      <w:bookmarkEnd w:id="26"/>
      <w:r>
        <w:rPr>
          <w:rStyle w:val="DeltaViewInsertion"/>
        </w:rPr>
        <w:t xml:space="preserve">the </w:t>
      </w:r>
      <w:r>
        <w:rPr>
          <w:rStyle w:val="DeltaViewInsertion"/>
          <w:b/>
          <w:bCs/>
          <w:i/>
          <w:iCs/>
        </w:rPr>
        <w:t>Purchasers</w:t>
      </w:r>
      <w:bookmarkStart w:id="28" w:name="_DV_M10"/>
      <w:bookmarkEnd w:id="27"/>
      <w:bookmarkEnd w:id="28"/>
      <w:r>
        <w:rPr>
          <w:color w:val="000000"/>
        </w:rPr>
        <w:t>)</w:t>
      </w:r>
      <w:bookmarkStart w:id="29" w:name="_DV_C27"/>
      <w:r>
        <w:rPr>
          <w:rStyle w:val="DeltaViewDeletion"/>
        </w:rPr>
        <w:t xml:space="preserve"> Floating Rate Senior Secured Notes in an aggregate principal amount of $45,000,000 (the </w:t>
      </w:r>
      <w:r>
        <w:rPr>
          <w:rStyle w:val="DeltaViewDeletion"/>
          <w:b/>
          <w:bCs/>
          <w:i/>
          <w:iCs/>
        </w:rPr>
        <w:t>Senior Notes</w:t>
      </w:r>
      <w:r>
        <w:rPr>
          <w:rStyle w:val="DeltaViewDeletion"/>
        </w:rPr>
        <w:t xml:space="preserve">) and (b) Floating Rate Subordinated Convertible Notes in an aggregate principal amount of $25,000,000 (the </w:t>
      </w:r>
      <w:r>
        <w:rPr>
          <w:rStyle w:val="DeltaViewDeletion"/>
          <w:b/>
          <w:bCs/>
          <w:i/>
          <w:iCs/>
        </w:rPr>
        <w:t>Subordinated Notes</w:t>
      </w:r>
      <w:r>
        <w:rPr>
          <w:rStyle w:val="DeltaViewDeletion"/>
        </w:rPr>
        <w:t xml:space="preserve"> and, together with the Senior Notes, the </w:t>
      </w:r>
      <w:r>
        <w:rPr>
          <w:rStyle w:val="DeltaViewDeletion"/>
          <w:b/>
          <w:bCs/>
          <w:i/>
          <w:iCs/>
        </w:rPr>
        <w:t>Notes</w:t>
      </w:r>
      <w:r>
        <w:rPr>
          <w:rStyle w:val="DeltaViewDeletion"/>
        </w:rPr>
        <w:t xml:space="preserve">) pursuant to a Note Purchase Agreement dated [April 19], 2001 (the </w:t>
      </w:r>
      <w:r>
        <w:rPr>
          <w:rStyle w:val="DeltaViewDeletion"/>
          <w:b/>
          <w:bCs/>
          <w:i/>
          <w:iCs/>
        </w:rPr>
        <w:t xml:space="preserve">Note </w:t>
      </w:r>
      <w:bookmarkStart w:id="30" w:name="_DV_C28"/>
      <w:bookmarkStart w:id="31" w:name="_DV_X22"/>
      <w:bookmarkEnd w:id="29"/>
      <w:r>
        <w:rPr>
          <w:rStyle w:val="DeltaViewMoveSource"/>
          <w:b/>
          <w:bCs/>
          <w:i/>
          <w:iCs/>
        </w:rPr>
        <w:t>Purchase Agreement</w:t>
      </w:r>
      <w:r>
        <w:rPr>
          <w:rStyle w:val="DeltaViewMoveSource"/>
        </w:rPr>
        <w:t>) between</w:t>
      </w:r>
      <w:bookmarkStart w:id="32" w:name="_DV_M11"/>
      <w:bookmarkEnd w:id="30"/>
      <w:bookmarkEnd w:id="31"/>
      <w:bookmarkEnd w:id="32"/>
      <w:r>
        <w:rPr>
          <w:color w:val="000000"/>
        </w:rPr>
        <w:t xml:space="preserve"> Pegasus </w:t>
      </w:r>
      <w:bookmarkStart w:id="33" w:name="_DV_C29"/>
      <w:r>
        <w:rPr>
          <w:rStyle w:val="DeltaViewInsertion"/>
        </w:rPr>
        <w:t xml:space="preserve">has agreed to sell, </w:t>
      </w:r>
      <w:bookmarkStart w:id="34" w:name="_DV_M12"/>
      <w:bookmarkEnd w:id="33"/>
      <w:bookmarkEnd w:id="34"/>
      <w:r>
        <w:rPr>
          <w:color w:val="000000"/>
        </w:rPr>
        <w:t xml:space="preserve">and the Purchasers </w:t>
      </w:r>
      <w:bookmarkStart w:id="35" w:name="_DV_C30"/>
      <w:r>
        <w:rPr>
          <w:rStyle w:val="DeltaViewDeletion"/>
        </w:rPr>
        <w:t>listed in schedule I</w:t>
      </w:r>
      <w:bookmarkStart w:id="36" w:name="_DV_C31"/>
      <w:bookmarkEnd w:id="35"/>
      <w:r>
        <w:rPr>
          <w:rStyle w:val="DeltaViewInsertion"/>
        </w:rPr>
        <w:t>have agreed, subject</w:t>
      </w:r>
      <w:bookmarkStart w:id="37" w:name="_DV_M13"/>
      <w:bookmarkEnd w:id="36"/>
      <w:bookmarkEnd w:id="37"/>
      <w:r>
        <w:rPr>
          <w:color w:val="000000"/>
        </w:rPr>
        <w:t xml:space="preserve"> to the </w:t>
      </w:r>
      <w:bookmarkStart w:id="38" w:name="_DV_C32"/>
      <w:r>
        <w:rPr>
          <w:rStyle w:val="DeltaViewDeletion"/>
        </w:rPr>
        <w:t>Note</w:t>
      </w:r>
      <w:bookmarkStart w:id="39" w:name="_DV_C33"/>
      <w:bookmarkEnd w:id="38"/>
      <w:r>
        <w:rPr>
          <w:rStyle w:val="DeltaViewInsertion"/>
        </w:rPr>
        <w:t>terms and conditions set forth therein, to purchase, the Notes (as defined in the</w:t>
      </w:r>
      <w:bookmarkStart w:id="40" w:name="_DV_M14"/>
      <w:bookmarkEnd w:id="39"/>
      <w:bookmarkEnd w:id="40"/>
      <w:r>
        <w:rPr>
          <w:color w:val="000000"/>
        </w:rPr>
        <w:t xml:space="preserve"> Purchase Agreement</w:t>
      </w:r>
      <w:bookmarkStart w:id="41" w:name="_DV_C34"/>
      <w:r>
        <w:rPr>
          <w:rStyle w:val="DeltaViewInsertion"/>
        </w:rPr>
        <w:t>), and the Preferred Membership Interests (as defined in the Purchase Agreement), the proceeds of which will be used to finance the Turbine Acquisition</w:t>
      </w:r>
      <w:bookmarkStart w:id="42" w:name="_DV_M15"/>
      <w:bookmarkEnd w:id="41"/>
      <w:bookmarkEnd w:id="42"/>
      <w:r>
        <w:rPr>
          <w:color w:val="000000"/>
        </w:rPr>
        <w:t xml:space="preserve">. </w:t>
      </w:r>
    </w:p>
    <w:p>
      <w:pPr>
        <w:pStyle w:val="BodyText"/>
        <w:rPr/>
      </w:pPr>
      <w:bookmarkStart w:id="43" w:name="_DV_M16"/>
      <w:bookmarkEnd w:id="43"/>
      <w:r>
        <w:rPr>
          <w:color w:val="000000"/>
        </w:rPr>
        <w:t>In rendering the opinions expressed below, I have examined</w:t>
      </w:r>
      <w:bookmarkStart w:id="44" w:name="_DV_C35"/>
      <w:r>
        <w:rPr>
          <w:rStyle w:val="DeltaViewInsertion"/>
        </w:rPr>
        <w:t xml:space="preserve"> originals or copies, certified or otherwise identified to my satisfaction, of</w:t>
      </w:r>
      <w:bookmarkStart w:id="45" w:name="_DV_M17"/>
      <w:bookmarkEnd w:id="44"/>
      <w:bookmarkEnd w:id="45"/>
      <w:r>
        <w:rPr>
          <w:color w:val="000000"/>
        </w:rPr>
        <w:t xml:space="preserve"> the following agreements and other documents:</w:t>
      </w:r>
    </w:p>
    <w:p>
      <w:pPr>
        <w:pStyle w:val="a"/>
        <w:rPr/>
      </w:pPr>
      <w:bookmarkStart w:id="46" w:name="_DV_M18"/>
      <w:bookmarkEnd w:id="46"/>
      <w:r>
        <w:rPr>
          <w:color w:val="000000"/>
        </w:rPr>
        <w:t>(a)</w:t>
        <w:tab/>
        <w:t xml:space="preserve">the turbine contract for the purchase and sale of the Turbines dated [     ], 2001 (the </w:t>
      </w:r>
      <w:r>
        <w:rPr>
          <w:b/>
          <w:bCs/>
          <w:i/>
          <w:iCs/>
          <w:color w:val="000000"/>
        </w:rPr>
        <w:t>Turbine Contract</w:t>
      </w:r>
      <w:r>
        <w:rPr>
          <w:color w:val="000000"/>
        </w:rPr>
        <w:t xml:space="preserve">) between Salmon Energy and GE Packaged Power; </w:t>
      </w:r>
    </w:p>
    <w:p>
      <w:pPr>
        <w:pStyle w:val="a"/>
        <w:rPr/>
      </w:pPr>
      <w:bookmarkStart w:id="47" w:name="_DV_M19"/>
      <w:bookmarkEnd w:id="47"/>
      <w:r>
        <w:rPr>
          <w:color w:val="000000"/>
        </w:rPr>
        <w:t>(b)</w:t>
        <w:tab/>
        <w:t xml:space="preserve">the consent and agreement dated [     ], 2001 (the </w:t>
      </w:r>
      <w:r>
        <w:rPr>
          <w:b/>
          <w:bCs/>
          <w:i/>
          <w:iCs/>
          <w:color w:val="000000"/>
        </w:rPr>
        <w:t>Consent and Agreement</w:t>
      </w:r>
      <w:r>
        <w:rPr>
          <w:color w:val="000000"/>
        </w:rPr>
        <w:t xml:space="preserve">) between GE Packaged Power, Salmon Energy and </w:t>
      </w:r>
      <w:bookmarkStart w:id="48" w:name="_DV_C36"/>
      <w:r>
        <w:rPr>
          <w:rStyle w:val="DeltaViewDeletion"/>
        </w:rPr>
        <w:t>the Chase Manhattan</w:t>
      </w:r>
      <w:bookmarkStart w:id="49" w:name="_DV_C37"/>
      <w:bookmarkEnd w:id="48"/>
      <w:r>
        <w:rPr>
          <w:rStyle w:val="DeltaViewInsertion"/>
        </w:rPr>
        <w:t>U.S.</w:t>
      </w:r>
      <w:bookmarkStart w:id="50" w:name="_DV_M20"/>
      <w:bookmarkEnd w:id="49"/>
      <w:bookmarkEnd w:id="50"/>
      <w:r>
        <w:rPr>
          <w:color w:val="000000"/>
        </w:rPr>
        <w:t xml:space="preserve"> Bank </w:t>
      </w:r>
      <w:bookmarkStart w:id="51" w:name="_DV_C38"/>
      <w:r>
        <w:rPr>
          <w:rStyle w:val="DeltaViewInsertion"/>
        </w:rPr>
        <w:t xml:space="preserve">Trust National Association, </w:t>
      </w:r>
      <w:bookmarkStart w:id="52" w:name="_DV_M21"/>
      <w:bookmarkEnd w:id="51"/>
      <w:bookmarkEnd w:id="52"/>
      <w:r>
        <w:rPr>
          <w:color w:val="000000"/>
        </w:rPr>
        <w:t xml:space="preserve">as Collateral Agent for the </w:t>
      </w:r>
      <w:bookmarkStart w:id="53" w:name="_DV_C39"/>
      <w:r>
        <w:rPr>
          <w:rStyle w:val="DeltaViewDeletion"/>
        </w:rPr>
        <w:t>Noteholders (as defined in the Note Purchase Agreement)</w:t>
      </w:r>
      <w:bookmarkStart w:id="54" w:name="_DV_C40"/>
      <w:bookmarkEnd w:id="53"/>
      <w:r>
        <w:rPr>
          <w:rStyle w:val="DeltaViewInsertion"/>
        </w:rPr>
        <w:t>Purchasers</w:t>
      </w:r>
      <w:bookmarkStart w:id="55" w:name="_DV_M22"/>
      <w:bookmarkEnd w:id="54"/>
      <w:bookmarkEnd w:id="55"/>
      <w:r>
        <w:rPr>
          <w:color w:val="000000"/>
        </w:rPr>
        <w:t>; and</w:t>
      </w:r>
    </w:p>
    <w:p>
      <w:pPr>
        <w:pStyle w:val="a"/>
        <w:rPr/>
      </w:pPr>
      <w:bookmarkStart w:id="56" w:name="_DV_M23"/>
      <w:bookmarkEnd w:id="56"/>
      <w:r>
        <w:rPr>
          <w:color w:val="000000"/>
        </w:rPr>
        <w:t>(d)</w:t>
        <w:tab/>
        <w:t>such records of GE Packaged Power and</w:t>
      </w:r>
      <w:bookmarkStart w:id="57" w:name="_DV_C41"/>
      <w:r>
        <w:rPr>
          <w:rStyle w:val="DeltaViewInsertion"/>
        </w:rPr>
        <w:t xml:space="preserve"> originals or copies, certified or otherwise identified to my satisfaction, of</w:t>
      </w:r>
      <w:bookmarkStart w:id="58" w:name="_DV_M24"/>
      <w:bookmarkEnd w:id="57"/>
      <w:bookmarkEnd w:id="58"/>
      <w:r>
        <w:rPr>
          <w:color w:val="000000"/>
        </w:rPr>
        <w:t xml:space="preserve"> such other documents as I have deemed necessary as a basis for the opinions expressed below.</w:t>
      </w:r>
    </w:p>
    <w:p>
      <w:pPr>
        <w:pStyle w:val="BodyText"/>
        <w:rPr/>
      </w:pPr>
      <w:bookmarkStart w:id="59" w:name="_DV_M25"/>
      <w:bookmarkEnd w:id="59"/>
      <w:r>
        <w:rPr>
          <w:color w:val="000000"/>
        </w:rPr>
        <w:t xml:space="preserve">The documents listed in (a) and (b) above are together referred to in this opinion as the </w:t>
      </w:r>
      <w:r>
        <w:rPr>
          <w:b/>
          <w:bCs/>
          <w:i/>
          <w:iCs/>
          <w:color w:val="000000"/>
        </w:rPr>
        <w:t>Documents</w:t>
      </w:r>
      <w:r>
        <w:rPr>
          <w:color w:val="000000"/>
        </w:rPr>
        <w:t>.</w:t>
      </w:r>
    </w:p>
    <w:p>
      <w:pPr>
        <w:pStyle w:val="BodyText"/>
        <w:rPr>
          <w:color w:val="000000"/>
        </w:rPr>
      </w:pPr>
      <w:bookmarkStart w:id="60" w:name="_DV_M26"/>
      <w:bookmarkEnd w:id="60"/>
      <w:r>
        <w:rPr>
          <w:color w:val="000000"/>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pPr>
      <w:bookmarkStart w:id="61" w:name="_DV_M27"/>
      <w:bookmarkEnd w:id="61"/>
      <w:r>
        <w:rPr>
          <w:color w:val="000000"/>
        </w:rPr>
        <w:t>In rendering the opinions expressed below, I have assumed</w:t>
      </w:r>
      <w:bookmarkStart w:id="62" w:name="_DV_C42"/>
      <w:r>
        <w:rPr>
          <w:rStyle w:val="DeltaViewInsertion"/>
        </w:rPr>
        <w:t>, without further investigation</w:t>
      </w:r>
      <w:bookmarkStart w:id="63" w:name="_DV_M28"/>
      <w:bookmarkEnd w:id="62"/>
      <w:bookmarkEnd w:id="63"/>
      <w:r>
        <w:rPr>
          <w:color w:val="000000"/>
        </w:rPr>
        <w:t>, with respect to all the documents referred to in this opinion letter, that (except to the extent expressly set forth in the opinions below as to GE Packaged Power):</w:t>
      </w:r>
    </w:p>
    <w:p>
      <w:pPr>
        <w:pStyle w:val="i"/>
        <w:rPr>
          <w:color w:val="000000"/>
        </w:rPr>
      </w:pPr>
      <w:bookmarkStart w:id="64" w:name="_DV_M29"/>
      <w:bookmarkEnd w:id="64"/>
      <w:r>
        <w:rPr>
          <w:color w:val="000000"/>
        </w:rPr>
        <w:tab/>
        <w:t>(i)</w:t>
        <w:tab/>
        <w:t>such documents have been duly authorized by, have been duly executed and delivered by, and constitute legal, valid, binding and enforceable obligations of, all of the parties to such documents;</w:t>
      </w:r>
    </w:p>
    <w:p>
      <w:pPr>
        <w:pStyle w:val="i"/>
        <w:rPr>
          <w:color w:val="000000"/>
        </w:rPr>
      </w:pPr>
      <w:bookmarkStart w:id="65" w:name="_DV_M30"/>
      <w:bookmarkEnd w:id="65"/>
      <w:r>
        <w:rPr>
          <w:color w:val="000000"/>
        </w:rPr>
        <w:tab/>
        <w:t>(ii)</w:t>
        <w:tab/>
        <w:t>all signatories to such documents have been duly authorized; and</w:t>
      </w:r>
    </w:p>
    <w:p>
      <w:pPr>
        <w:pStyle w:val="i"/>
        <w:rPr>
          <w:color w:val="000000"/>
        </w:rPr>
      </w:pPr>
      <w:bookmarkStart w:id="66" w:name="_DV_M31"/>
      <w:bookmarkEnd w:id="66"/>
      <w:r>
        <w:rPr>
          <w:color w:val="000000"/>
        </w:rPr>
        <w:tab/>
        <w:t>(iii)</w:t>
        <w:tab/>
        <w:t>all of the parties to such documents are duly organized and validly existing and have the power and authority (corporate, partnership or other) to execute, deliver and perform such documents.</w:t>
      </w:r>
    </w:p>
    <w:p>
      <w:pPr>
        <w:pStyle w:val="BodyText"/>
        <w:rPr/>
      </w:pPr>
      <w:bookmarkStart w:id="67" w:name="_DV_M32"/>
      <w:bookmarkEnd w:id="67"/>
      <w:r>
        <w:rPr>
          <w:color w:val="000000"/>
        </w:rPr>
        <w:t>Based upon and subject to the foregoing and subject also to the comments</w:t>
      </w:r>
      <w:bookmarkStart w:id="68" w:name="_DV_C43"/>
      <w:r>
        <w:rPr>
          <w:rStyle w:val="DeltaViewInsertion"/>
        </w:rPr>
        <w:t>, exceptions, limitations</w:t>
      </w:r>
      <w:bookmarkStart w:id="69" w:name="_DV_M33"/>
      <w:bookmarkEnd w:id="68"/>
      <w:bookmarkEnd w:id="69"/>
      <w:r>
        <w:rPr>
          <w:color w:val="000000"/>
        </w:rPr>
        <w:t xml:space="preserve"> and qualifications set forth below, and having considered such questions of law as I have deemed necessary as a basis for the opinions expressed below, I am of the opinion that:</w:t>
      </w:r>
    </w:p>
    <w:p>
      <w:pPr>
        <w:pStyle w:val="BodyText"/>
        <w:rPr>
          <w:color w:val="000000"/>
        </w:rPr>
      </w:pPr>
      <w:bookmarkStart w:id="70" w:name="_DV_M34"/>
      <w:bookmarkEnd w:id="70"/>
      <w:r>
        <w:rPr>
          <w:color w:val="000000"/>
        </w:rPr>
        <w:t>1.</w:t>
        <w:tab/>
        <w:t xml:space="preserve">GE Packaged Power is a corporation duly organized, validly existing and in good standing under the law of the State of Delaware. </w:t>
      </w:r>
    </w:p>
    <w:p>
      <w:pPr>
        <w:pStyle w:val="BodyText"/>
        <w:rPr>
          <w:color w:val="000000"/>
        </w:rPr>
      </w:pPr>
      <w:bookmarkStart w:id="71" w:name="_DV_M35"/>
      <w:bookmarkEnd w:id="71"/>
      <w:r>
        <w:rPr>
          <w:color w:val="000000"/>
        </w:rPr>
        <w:t>2.</w:t>
        <w:tab/>
        <w:t>GE Packaged Power has all requisite corporate power to execute and deliver, and to perform its obligations under, the Documents.</w:t>
      </w:r>
    </w:p>
    <w:p>
      <w:pPr>
        <w:pStyle w:val="BodyText"/>
        <w:rPr>
          <w:color w:val="000000"/>
        </w:rPr>
      </w:pPr>
      <w:bookmarkStart w:id="72" w:name="_DV_M36"/>
      <w:bookmarkEnd w:id="72"/>
      <w:r>
        <w:rPr>
          <w:color w:val="000000"/>
        </w:rPr>
        <w:t>3.</w:t>
        <w:tab/>
        <w:t>The execution and delivery by GE Packaged Power of, and the performance by GE Packaged Power of its obligations under, the Documents have been duly authorized by all necessary corporate action on the part of GE Packaged Power.</w:t>
      </w:r>
    </w:p>
    <w:p>
      <w:pPr>
        <w:pStyle w:val="BodyText"/>
        <w:rPr>
          <w:color w:val="000000"/>
        </w:rPr>
      </w:pPr>
      <w:bookmarkStart w:id="73" w:name="_DV_M37"/>
      <w:bookmarkEnd w:id="73"/>
      <w:r>
        <w:rPr>
          <w:color w:val="000000"/>
        </w:rPr>
        <w:t>4.</w:t>
        <w:tab/>
        <w:t>Each of the Documents has been duly executed and delivered by GE Packaged Power.</w:t>
      </w:r>
    </w:p>
    <w:p>
      <w:pPr>
        <w:pStyle w:val="BodyText"/>
        <w:rPr>
          <w:color w:val="000000"/>
        </w:rPr>
      </w:pPr>
      <w:bookmarkStart w:id="74" w:name="_DV_M38"/>
      <w:bookmarkEnd w:id="74"/>
      <w:r>
        <w:rPr>
          <w:color w:val="000000"/>
        </w:rPr>
        <w:t>5.</w:t>
        <w:tab/>
        <w:t>Each of the Documents constitutes the legal, valid and binding obligation of GE Packaged Power, enforceable against GE Packaged Power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color w:val="000000"/>
        </w:rPr>
      </w:pPr>
      <w:bookmarkStart w:id="75" w:name="_DV_M39"/>
      <w:bookmarkEnd w:id="75"/>
      <w:r>
        <w:rPr>
          <w:color w:val="000000"/>
        </w:rPr>
        <w:t>6.</w:t>
        <w:tab/>
        <w:t>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GE Packaged Power which seeks or may reasonably be expected to rescind, terminate, modify or suspend any such governmental approval.  I have no reason to believe that any governmental approval which has not been obtained as of the date of this opinion but which will be required in the future with respect to the execution or delivery of the Documents, and the performance of obligations thereunder will not be granted to GE Packaged Power in due course.</w:t>
      </w:r>
    </w:p>
    <w:p>
      <w:pPr>
        <w:pStyle w:val="BodyText"/>
        <w:rPr/>
      </w:pPr>
      <w:bookmarkStart w:id="76" w:name="_DV_M40"/>
      <w:bookmarkEnd w:id="76"/>
      <w:r>
        <w:rPr>
          <w:color w:val="000000"/>
        </w:rPr>
        <w:t>7.</w:t>
        <w:tab/>
        <w:t>The execution and delivery by GE Packaged Power of, the incurrence and performance by GE Packaged Power of its obligations under, and the consummation by GE Packaged Power of the other transactions contemplated by</w:t>
      </w:r>
      <w:r>
        <w:rPr>
          <w:rStyle w:val="EndnoteCharacters"/>
          <w:color w:val="000000"/>
        </w:rPr>
        <w:t>,</w:t>
      </w:r>
      <w:r>
        <w:rPr>
          <w:color w:val="000000"/>
        </w:rPr>
        <w:t xml:space="preserve"> the Documents do not and will not (a) violate any provision of the </w:t>
      </w:r>
      <w:bookmarkStart w:id="77" w:name="_DV_C44"/>
      <w:r>
        <w:rPr>
          <w:rStyle w:val="DeltaViewDeletion"/>
        </w:rPr>
        <w:t>charter</w:t>
      </w:r>
      <w:bookmarkStart w:id="78" w:name="_DV_C45"/>
      <w:bookmarkEnd w:id="77"/>
      <w:r>
        <w:rPr>
          <w:rStyle w:val="DeltaViewInsertion"/>
        </w:rPr>
        <w:t>Certificate of Incorporation</w:t>
      </w:r>
      <w:bookmarkStart w:id="79" w:name="_DV_M41"/>
      <w:bookmarkEnd w:id="78"/>
      <w:bookmarkEnd w:id="79"/>
      <w:r>
        <w:rPr>
          <w:color w:val="000000"/>
        </w:rPr>
        <w:t xml:space="preserve"> or by</w:t>
        <w:noBreakHyphen/>
        <w:t>laws of GE Packaged Power,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GE Packaged Power and its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GE Packaged Power and its respective subsidiaries is a party or by which any of them is bound or to which any of them is subject.</w:t>
      </w:r>
    </w:p>
    <w:p>
      <w:pPr>
        <w:pStyle w:val="BodyText"/>
        <w:rPr/>
      </w:pPr>
      <w:bookmarkStart w:id="80" w:name="_DV_M42"/>
      <w:bookmarkEnd w:id="80"/>
      <w:r>
        <w:rPr>
          <w:color w:val="000000"/>
        </w:rPr>
        <w:t>8.</w:t>
        <w:tab/>
        <w:t>I have no knowledge (after due inquiry) of any legal or arbitral proceedings, or any proceedings by or before any governmental or regulatory authority or agency, now pending or</w:t>
      </w:r>
      <w:bookmarkStart w:id="81" w:name="_DV_C46"/>
      <w:r>
        <w:rPr>
          <w:rStyle w:val="DeltaViewInsertion"/>
        </w:rPr>
        <w:t>, to the best of my knowledge,</w:t>
      </w:r>
      <w:bookmarkStart w:id="82" w:name="_DV_M43"/>
      <w:bookmarkEnd w:id="81"/>
      <w:bookmarkEnd w:id="82"/>
      <w:r>
        <w:rPr>
          <w:color w:val="000000"/>
        </w:rPr>
        <w:t xml:space="preserve"> threatened against or affecting GE Packaged Power and its subsidiaries or any of its properties that, if adversely determined, could be reasonably likely to have a material adverse effect on the ability of GE Packaged Power to perform its obligations under the Documents.</w:t>
      </w:r>
    </w:p>
    <w:p>
      <w:pPr>
        <w:pStyle w:val="BodyText"/>
        <w:rPr/>
      </w:pPr>
      <w:bookmarkStart w:id="83" w:name="_DV_M44"/>
      <w:bookmarkEnd w:id="83"/>
      <w:r>
        <w:rPr>
          <w:color w:val="000000"/>
        </w:rPr>
        <w:t>The foregoing opinions are subject to the following</w:t>
      </w:r>
      <w:bookmarkStart w:id="84" w:name="_DV_C47"/>
      <w:r>
        <w:rPr>
          <w:rStyle w:val="DeltaViewInsertion"/>
        </w:rPr>
        <w:t xml:space="preserve"> additional</w:t>
      </w:r>
      <w:bookmarkStart w:id="85" w:name="_DV_M45"/>
      <w:bookmarkEnd w:id="84"/>
      <w:bookmarkEnd w:id="85"/>
      <w:r>
        <w:rPr>
          <w:color w:val="000000"/>
        </w:rPr>
        <w:t xml:space="preserve"> comments and qualifications:</w:t>
      </w:r>
    </w:p>
    <w:p>
      <w:pPr>
        <w:pStyle w:val="BodyText"/>
        <w:rPr>
          <w:color w:val="000000"/>
        </w:rPr>
      </w:pPr>
      <w:bookmarkStart w:id="86" w:name="_DV_M46"/>
      <w:bookmarkEnd w:id="86"/>
      <w:r>
        <w:rPr>
          <w:color w:val="000000"/>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color w:val="000000"/>
        </w:rPr>
      </w:pPr>
      <w:bookmarkStart w:id="87" w:name="_DV_M47"/>
      <w:bookmarkEnd w:id="87"/>
      <w:r>
        <w:rPr>
          <w:color w:val="000000"/>
        </w:rPr>
        <w:t>(B)</w:t>
        <w:tab/>
        <w:t>The enforceability of any provision in the Documents to the effect that terms may not be waived or modified except in writing may be limited under certain circumstances.</w:t>
      </w:r>
    </w:p>
    <w:p>
      <w:pPr>
        <w:pStyle w:val="BodyText"/>
        <w:rPr/>
      </w:pPr>
      <w:bookmarkStart w:id="88" w:name="_DV_C48"/>
      <w:r>
        <w:rPr>
          <w:rStyle w:val="DeltaViewDeletion"/>
        </w:rPr>
        <w:t>The foregoing opinions are limited to matters involving</w:t>
      </w:r>
      <w:bookmarkStart w:id="89" w:name="_DV_C49"/>
      <w:bookmarkEnd w:id="88"/>
      <w:r>
        <w:rPr>
          <w:rStyle w:val="DeltaViewInsertion"/>
        </w:rPr>
        <w:t>I am admitted to</w:t>
      </w:r>
      <w:bookmarkEnd w:id="89"/>
      <w:r>
        <w:rPr>
          <w:color w:val="000000"/>
        </w:rPr>
        <w:t xml:space="preserve"> the </w:t>
      </w:r>
      <w:bookmarkStart w:id="90" w:name="_DV_C50"/>
      <w:r>
        <w:rPr>
          <w:rStyle w:val="DeltaViewDeletion"/>
        </w:rPr>
        <w:t>Federal law</w:t>
      </w:r>
      <w:bookmarkStart w:id="91" w:name="_DV_C51"/>
      <w:bookmarkEnd w:id="90"/>
      <w:r>
        <w:rPr>
          <w:rStyle w:val="DeltaViewInsertion"/>
        </w:rPr>
        <w:t>bar of the Commonwealth of Pennsylvania.  I express no</w:t>
      </w:r>
      <w:bookmarkEnd w:id="91"/>
      <w:r>
        <w:rPr>
          <w:rStyle w:val="DeltaViewDeletion"/>
        </w:rPr>
        <w:t>, and I do not express any</w:t>
      </w:r>
      <w:bookmarkStart w:id="92" w:name="_DV_C52"/>
      <w:bookmarkStart w:id="93" w:name="_DV_X61"/>
      <w:r>
        <w:rPr>
          <w:rStyle w:val="DeltaViewMoveDestination"/>
        </w:rPr>
        <w:t xml:space="preserve"> opinion as to the law of any</w:t>
      </w:r>
      <w:bookmarkEnd w:id="92"/>
      <w:bookmarkEnd w:id="93"/>
      <w:r>
        <w:rPr>
          <w:rStyle w:val="DeltaViewDeletion"/>
        </w:rPr>
        <w:t xml:space="preserve"> other jurisdiction</w:t>
      </w:r>
      <w:bookmarkStart w:id="94" w:name="_DV_C53"/>
      <w:r>
        <w:rPr>
          <w:rStyle w:val="DeltaViewInsertion"/>
        </w:rPr>
        <w:t xml:space="preserve"> jurisdiction other than (i) the laws of the Commonwealth of Pennsylvania, (ii) the federal laws</w:t>
      </w:r>
      <w:bookmarkStart w:id="95" w:name="_DV_M49"/>
      <w:bookmarkEnd w:id="94"/>
      <w:bookmarkEnd w:id="95"/>
      <w:r>
        <w:rPr>
          <w:color w:val="000000"/>
        </w:rPr>
        <w:t xml:space="preserve"> of the United States of America</w:t>
      </w:r>
      <w:bookmarkStart w:id="96" w:name="_DV_C54"/>
      <w:r>
        <w:rPr>
          <w:rStyle w:val="DeltaViewDeletion"/>
        </w:rPr>
        <w:t>,</w:t>
      </w:r>
      <w:bookmarkStart w:id="97" w:name="_DV_C55"/>
      <w:bookmarkEnd w:id="96"/>
      <w:r>
        <w:rPr>
          <w:rStyle w:val="DeltaViewInsertion"/>
        </w:rPr>
        <w:t xml:space="preserve"> and (iii)</w:t>
      </w:r>
      <w:bookmarkStart w:id="98" w:name="_DV_M50"/>
      <w:bookmarkEnd w:id="97"/>
      <w:bookmarkEnd w:id="98"/>
      <w:r>
        <w:rPr>
          <w:color w:val="000000"/>
        </w:rPr>
        <w:t xml:space="preserve"> the General Corporation Law of the State of Delaware</w:t>
      </w:r>
      <w:bookmarkStart w:id="99" w:name="_DV_C56"/>
      <w:r>
        <w:rPr>
          <w:rStyle w:val="DeltaViewDeletion"/>
        </w:rPr>
        <w:t xml:space="preserve"> and</w:t>
      </w:r>
      <w:bookmarkStart w:id="100" w:name="_DV_C57"/>
      <w:bookmarkEnd w:id="99"/>
      <w:r>
        <w:rPr>
          <w:rStyle w:val="DeltaViewInsertion"/>
        </w:rPr>
        <w:t>, except to</w:t>
      </w:r>
      <w:bookmarkStart w:id="101" w:name="_DV_M51"/>
      <w:bookmarkEnd w:id="100"/>
      <w:bookmarkEnd w:id="101"/>
      <w:r>
        <w:rPr>
          <w:color w:val="000000"/>
        </w:rPr>
        <w:t xml:space="preserve"> the </w:t>
      </w:r>
      <w:bookmarkStart w:id="102" w:name="_DV_C58"/>
      <w:r>
        <w:rPr>
          <w:rStyle w:val="DeltaViewDeletion"/>
        </w:rPr>
        <w:t>law</w:t>
      </w:r>
      <w:bookmarkStart w:id="103" w:name="_DV_C59"/>
      <w:bookmarkEnd w:id="102"/>
      <w:r>
        <w:rPr>
          <w:rStyle w:val="DeltaViewInsertion"/>
        </w:rPr>
        <w:t>extent that the laws</w:t>
      </w:r>
      <w:bookmarkStart w:id="104" w:name="_DV_M52"/>
      <w:bookmarkEnd w:id="103"/>
      <w:bookmarkEnd w:id="104"/>
      <w:r>
        <w:rPr>
          <w:color w:val="000000"/>
        </w:rPr>
        <w:t xml:space="preserve"> of the State of New York</w:t>
      </w:r>
      <w:bookmarkStart w:id="105" w:name="_DV_C60"/>
      <w:r>
        <w:rPr>
          <w:rStyle w:val="DeltaViewDeletion"/>
        </w:rPr>
        <w:t>, and I do not express any</w:t>
      </w:r>
      <w:bookmarkStart w:id="106" w:name="_DV_C61"/>
      <w:bookmarkStart w:id="107" w:name="_DV_X52"/>
      <w:bookmarkEnd w:id="105"/>
      <w:r>
        <w:rPr>
          <w:rStyle w:val="DeltaViewMoveSource"/>
        </w:rPr>
        <w:t xml:space="preserve"> opinion as to the law of any</w:t>
      </w:r>
      <w:bookmarkStart w:id="108" w:name="_DV_C62"/>
      <w:bookmarkEnd w:id="106"/>
      <w:bookmarkEnd w:id="107"/>
      <w:r>
        <w:rPr>
          <w:rStyle w:val="DeltaViewDeletion"/>
        </w:rPr>
        <w:t xml:space="preserve"> other jurisdiction</w:t>
      </w:r>
      <w:bookmarkStart w:id="109" w:name="_DV_C63"/>
      <w:bookmarkEnd w:id="108"/>
      <w:r>
        <w:rPr>
          <w:rStyle w:val="DeltaViewInsertion"/>
        </w:rPr>
        <w:t xml:space="preserve"> applicable to the subject matter hereof are identical to the laws of the Commonwealth of Pennsylvania</w:t>
      </w:r>
      <w:bookmarkStart w:id="110" w:name="_DV_M53"/>
      <w:bookmarkEnd w:id="109"/>
      <w:bookmarkEnd w:id="110"/>
      <w:r>
        <w:rPr>
          <w:color w:val="000000"/>
        </w:rPr>
        <w:t>.</w:t>
      </w:r>
    </w:p>
    <w:p>
      <w:pPr>
        <w:pStyle w:val="BodyText"/>
        <w:keepNext w:val="true"/>
        <w:rPr/>
      </w:pPr>
      <w:bookmarkStart w:id="111" w:name="_DV_M54"/>
      <w:bookmarkEnd w:id="111"/>
      <w:r>
        <w:rPr>
          <w:color w:val="000000"/>
        </w:rPr>
        <w:t xml:space="preserve">This opinion letter is provided in my capacity as in-house counsel to GE Packaged Power, </w:t>
      </w:r>
      <w:bookmarkStart w:id="112" w:name="_DV_C64"/>
      <w:r>
        <w:rPr>
          <w:rStyle w:val="DeltaViewInsertion"/>
        </w:rPr>
        <w:t xml:space="preserve">is valid on the date of this opinion letter, </w:t>
      </w:r>
      <w:bookmarkStart w:id="113" w:name="_DV_M55"/>
      <w:bookmarkEnd w:id="112"/>
      <w:bookmarkEnd w:id="113"/>
      <w:r>
        <w:rPr>
          <w:color w:val="000000"/>
        </w:rPr>
        <w:t>and this opinion letter may not be relied upon by any person other than you</w:t>
      </w:r>
      <w:bookmarkStart w:id="114" w:name="_DV_C65"/>
      <w:r>
        <w:rPr>
          <w:rStyle w:val="DeltaViewDeletion"/>
        </w:rPr>
        <w:t xml:space="preserve"> or</w:t>
      </w:r>
      <w:bookmarkStart w:id="115" w:name="_DV_M56"/>
      <w:bookmarkEnd w:id="114"/>
      <w:bookmarkEnd w:id="115"/>
      <w:r>
        <w:rPr>
          <w:color w:val="000000"/>
        </w:rPr>
        <w:t xml:space="preserve"> for any purpose other than in connection with the transactions contemplated by the Documents without, in each instance, my prior written consent.  </w:t>
      </w:r>
    </w:p>
    <w:p>
      <w:pPr>
        <w:pStyle w:val="Yours"/>
        <w:spacing w:lineRule="auto" w:line="278" w:before="0" w:after="1400"/>
        <w:jc w:val="start"/>
        <w:rPr>
          <w:color w:val="000000"/>
        </w:rPr>
      </w:pPr>
      <w:bookmarkStart w:id="116" w:name="_DV_M57"/>
      <w:bookmarkStart w:id="117" w:name="Yours"/>
      <w:bookmarkEnd w:id="116"/>
      <w:bookmarkEnd w:id="117"/>
      <w:r>
        <w:rPr>
          <w:color w:val="000000"/>
        </w:rPr>
        <w:t>Very truly yours,</w:t>
      </w:r>
      <w:bookmarkStart w:id="118" w:name="From"/>
      <w:bookmarkEnd w:id="118"/>
    </w:p>
    <w:p>
      <w:pPr>
        <w:pStyle w:val="BodyText"/>
        <w:spacing w:before="0" w:after="240"/>
        <w:jc w:val="both"/>
        <w:rPr/>
      </w:pPr>
      <w:bookmarkStart w:id="119" w:name="_DV_C66"/>
      <w:bookmarkStart w:id="120" w:name="FFLockDate"/>
      <w:bookmarkStart w:id="121" w:name="_DV_IPM1"/>
      <w:bookmarkEnd w:id="120"/>
      <w:bookmarkEnd w:id="121"/>
      <w:r>
        <w:rPr>
          <w:rStyle w:val="DeltaViewInsertion"/>
        </w:rPr>
        <w:t>Daniel Rowley, Esq.</w:t>
      </w:r>
      <w:bookmarkEnd w:id="119"/>
    </w:p>
    <w:sectPr>
      <w:headerReference w:type="default" r:id="rId2"/>
      <w:headerReference w:type="first" r:id="rId3"/>
      <w:footerReference w:type="default" r:id="rId4"/>
      <w:footerReference w:type="first" r:id="rId5"/>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122" w:name="_DV_C1"/>
    <w:r>
      <w:rPr>
        <w:rStyle w:val="DeltaViewDeletion"/>
        <w:lang w:val="en-CA" w:eastAsia="en-CA"/>
      </w:rPr>
      <w:t>Copy.001</w:t>
    </w:r>
    <w:bookmarkStart w:id="123" w:name="_DV_C2"/>
    <w:bookmarkEnd w:id="122"/>
    <w:r>
      <w:rPr>
        <w:rStyle w:val="DeltaViewInsertion"/>
        <w:lang w:val="en-CA" w:eastAsia="en-CA"/>
      </w:rPr>
      <w:t>NY003700.033</w:t>
    </w:r>
    <w:bookmarkEnd w:id="123"/>
    <w:r>
      <w:rPr>
        <w:color w:val="000000"/>
      </w:rPr>
      <w:t>/</w:t>
    </w:r>
    <w:bookmarkStart w:id="124" w:name="_DV_C3"/>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4+</w:t>
    </w:r>
    <w:r>
      <w:rPr>
        <w:rStyle w:val="DeltaViewDeletion"/>
      </w:rPr>
      <w:fldChar w:fldCharType="end"/>
    </w:r>
    <w:bookmarkEnd w:id="124"/>
    <w:r>
      <w:rPr>
        <w:color w:val="000000"/>
      </w:rPr>
      <w:t xml:space="preserve">  </w:t>
    </w:r>
    <w:bookmarkStart w:id="125" w:name="_DV_C4"/>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4+</w:t>
    </w:r>
    <w:r>
      <w:rPr>
        <w:rStyle w:val="DeltaViewInsertion"/>
      </w:rPr>
      <w:fldChar w:fldCharType="end"/>
    </w:r>
    <w:bookmarkStart w:id="126" w:name="_DV_C5"/>
    <w:bookmarkEnd w:id="125"/>
    <w:r>
      <w:rPr>
        <w:rStyle w:val="DeltaViewInsertion"/>
      </w:rPr>
      <w:t xml:space="preserve">    (117784-0002)</w:t>
    </w:r>
    <w:bookmarkEnd w:id="126"/>
    <w:r>
      <w:rPr>
        <w:color w:val="00000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127" w:name="_DV_C6"/>
    <w:r>
      <w:rPr>
        <w:rStyle w:val="DeltaViewDeletion"/>
        <w:lang w:val="en-CA" w:eastAsia="en-CA"/>
      </w:rPr>
      <w:t>Copy.001</w:t>
    </w:r>
    <w:bookmarkStart w:id="128" w:name="_DV_C7"/>
    <w:bookmarkEnd w:id="127"/>
    <w:r>
      <w:rPr>
        <w:rStyle w:val="DeltaViewInsertion"/>
        <w:lang w:val="en-CA" w:eastAsia="en-CA"/>
      </w:rPr>
      <w:t>NY003700.033</w:t>
    </w:r>
    <w:bookmarkEnd w:id="128"/>
    <w:r>
      <w:rPr>
        <w:color w:val="000000"/>
      </w:rPr>
      <w:t>/</w:t>
    </w:r>
    <w:bookmarkStart w:id="129" w:name="_DV_C8"/>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4+</w:t>
    </w:r>
    <w:r>
      <w:rPr>
        <w:rStyle w:val="DeltaViewDeletion"/>
      </w:rPr>
      <w:fldChar w:fldCharType="end"/>
    </w:r>
    <w:bookmarkEnd w:id="129"/>
    <w:r>
      <w:rPr>
        <w:color w:val="000000"/>
      </w:rPr>
      <w:t xml:space="preserve">  </w:t>
    </w:r>
    <w:bookmarkStart w:id="130" w:name="_DV_C9"/>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4+</w:t>
    </w:r>
    <w:r>
      <w:rPr>
        <w:rStyle w:val="DeltaViewInsertion"/>
      </w:rPr>
      <w:fldChar w:fldCharType="end"/>
    </w:r>
    <w:bookmarkStart w:id="131" w:name="_DV_C10"/>
    <w:bookmarkEnd w:id="130"/>
    <w:r>
      <w:rPr>
        <w:rStyle w:val="DeltaViewInsertion"/>
      </w:rPr>
      <w:t xml:space="preserve">    (117784-0002)</w:t>
    </w:r>
    <w:bookmarkEnd w:id="131"/>
    <w:r>
      <w:rPr>
        <w:color w:val="000000"/>
      </w:rPr>
      <w:tab/>
      <w:t>IJP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NY003700033/4+ compared with </w:t>
      <w:br/>
      <w:t>NY003700033/ 3 at 4/18/2001 6:39:41 PM</w:t>
    </w:r>
  </w:p>
  <w:p>
    <w:pPr>
      <w:pStyle w:val="Header"/>
      <w:spacing w:before="0" w:after="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spacing w:val="0"/>
      </w:rPr>
    </w:lvl>
  </w:abstractNum>
  <w:abstractNum w:abstractNumId="3">
    <w:lvl w:ilvl="0">
      <w:start w:val="1"/>
      <w:numFmt w:val="lowerLetter"/>
      <w:lvlText w:val="%1."/>
      <w:lvlJc w:val="start"/>
      <w:pPr>
        <w:tabs>
          <w:tab w:val="num" w:pos="360"/>
        </w:tabs>
        <w:ind w:start="36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lowerLetter"/>
      <w:lvlText w:val="(%1)"/>
      <w:lvlJc w:val="start"/>
      <w:pPr>
        <w:tabs>
          <w:tab w:val="num" w:pos="360"/>
        </w:tabs>
        <w:ind w:start="360" w:hanging="360"/>
      </w:pPr>
      <w:rPr>
        <w:sz w:val="26"/>
        <w:spacing w:val="0"/>
        <w:szCs w:val="26"/>
        <w:rFonts w:ascii="Bembo" w:hAnsi="Bembo" w:cs="Times New Roman"/>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none"/>
      <w:suff w:val="nothing"/>
      <w:lvlText w:val=""/>
      <w:lvlJc w:val="start"/>
      <w:pPr>
        <w:tabs>
          <w:tab w:val="num" w:pos="0"/>
        </w:tabs>
        <w:ind w:start="0" w:hanging="0"/>
      </w:pPr>
      <w:rPr>
        <w:spacing w:val="0"/>
      </w:rPr>
    </w:lvl>
  </w:abstractNum>
  <w:abstractNum w:abstractNumId="8">
    <w:lvl w:ilvl="0">
      <w:start w:val="1"/>
      <w:numFmt w:val="none"/>
      <w:suff w:val="nothing"/>
      <w:lvlText w:val=""/>
      <w:lvlJc w:val="start"/>
      <w:pPr>
        <w:tabs>
          <w:tab w:val="num" w:pos="0"/>
        </w:tabs>
        <w:ind w:start="0" w:hanging="0"/>
      </w:pPr>
      <w:rPr>
        <w:spacing w:val="0"/>
      </w:rPr>
    </w:lvl>
  </w:abstractNum>
  <w:abstractNum w:abstractNumId="9">
    <w:lvl w:ilvl="0">
      <w:start w:val="1"/>
      <w:numFmt w:val="decimal"/>
      <w:lvlText w:val="%1."/>
      <w:lvlJc w:val="start"/>
      <w:pPr>
        <w:tabs>
          <w:tab w:val="num" w:pos="720"/>
        </w:tabs>
        <w:ind w:start="720" w:hanging="720"/>
      </w:pPr>
      <w:rPr>
        <w:spacing w:val="0"/>
      </w:r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_Blackline" w:val="YES"/>
    <w:docVar w:name="FFCompareDoc1" w:val="NY003700033/4+"/>
    <w:docVar w:name="FFCompareDoc2" w:val="NY003700033/ 3"/>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jc w:val="start"/>
      <w:outlineLvl w:val="0"/>
    </w:pPr>
    <w:rPr>
      <w:b/>
      <w:bCs/>
      <w:caps/>
    </w:rPr>
  </w:style>
  <w:style w:type="paragraph" w:styleId="Heading2">
    <w:name w:val="heading 2"/>
    <w:basedOn w:val="BodyText"/>
    <w:next w:val="BodyText"/>
    <w:qFormat/>
    <w:pPr>
      <w:keepNext w:val="true"/>
      <w:keepLines/>
      <w:numPr>
        <w:ilvl w:val="1"/>
        <w:numId w:val="1"/>
      </w:numPr>
      <w:jc w:val="start"/>
      <w:outlineLvl w:val="1"/>
    </w:pPr>
    <w:rPr>
      <w:b/>
      <w:bCs/>
      <w:smallCaps/>
    </w:rPr>
  </w:style>
  <w:style w:type="paragraph" w:styleId="Heading3">
    <w:name w:val="heading 3"/>
    <w:basedOn w:val="BodyText"/>
    <w:next w:val="BodyText"/>
    <w:qFormat/>
    <w:pPr>
      <w:keepNext w:val="true"/>
      <w:keepLines/>
      <w:numPr>
        <w:ilvl w:val="2"/>
        <w:numId w:val="1"/>
      </w:numPr>
      <w:outlineLvl w:val="2"/>
    </w:pPr>
    <w:rPr>
      <w:b/>
      <w:bCs/>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bCs/>
      <w:caps/>
    </w:rPr>
  </w:style>
  <w:style w:type="paragraph" w:styleId="Heading6">
    <w:name w:val="heading 6"/>
    <w:basedOn w:val="BodyText"/>
    <w:next w:val="BodyText"/>
    <w:qFormat/>
    <w:pPr>
      <w:keepNext w:val="true"/>
      <w:numPr>
        <w:ilvl w:val="5"/>
        <w:numId w:val="1"/>
      </w:numPr>
      <w:jc w:val="center"/>
      <w:outlineLvl w:val="5"/>
    </w:pPr>
    <w:rPr>
      <w:b/>
      <w:bCs/>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Times New Roman" w:hAnsi="Times New Roman" w:cs="Times New Roman"/>
      <w:b w:val="false"/>
      <w:i w:val="false"/>
      <w:caps w:val="false"/>
      <w:smallCaps w:val="false"/>
      <w:color w:val="000000"/>
      <w:spacing w:val="0"/>
      <w:u w:val="none"/>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rFonts w:ascii="Times New Roman" w:hAnsi="Times New Roman" w:cs="Times New Roman"/>
      <w:b w:val="false"/>
      <w:i w:val="false"/>
      <w:caps w:val="false"/>
      <w:smallCaps w:val="false"/>
      <w:color w:val="000000"/>
      <w:spacing w:val="0"/>
      <w:u w:val="none"/>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rFonts w:ascii="Bembo" w:hAnsi="Bembo" w:cs="Times New Roman"/>
      <w:spacing w:val="0"/>
      <w:sz w:val="26"/>
      <w:szCs w:val="26"/>
    </w:rPr>
  </w:style>
  <w:style w:type="character" w:styleId="WW8Num22z1">
    <w:name w:val="WW8Num22z1"/>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rFonts w:ascii="Bembo" w:hAnsi="Bembo" w:cs="Times New Roman"/>
      <w:b w:val="false"/>
      <w:i w:val="false"/>
      <w:spacing w:val="0"/>
      <w:sz w:val="26"/>
      <w:szCs w:val="26"/>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rFonts w:ascii="Bembo" w:hAnsi="Bembo" w:cs="Times New Roman"/>
      <w:spacing w:val="0"/>
      <w:sz w:val="26"/>
      <w:szCs w:val="26"/>
    </w:rPr>
  </w:style>
  <w:style w:type="character" w:styleId="WW8Num35z1">
    <w:name w:val="WW8Num35z1"/>
    <w:qFormat/>
    <w:rPr>
      <w:spacing w:val="0"/>
    </w:rPr>
  </w:style>
  <w:style w:type="character" w:styleId="WW8Num36z0">
    <w:name w:val="WW8Num36z0"/>
    <w:qFormat/>
    <w:rPr>
      <w:rFonts w:ascii="Times New Roman" w:hAnsi="Times New Roman" w:cs="Times New Roman"/>
      <w:b w:val="false"/>
      <w:i w:val="false"/>
      <w:caps w:val="false"/>
      <w:smallCaps w:val="false"/>
      <w:color w:val="000000"/>
      <w:spacing w:val="0"/>
      <w:u w:val="none"/>
    </w:rPr>
  </w:style>
  <w:style w:type="character" w:styleId="WW8Num37z0">
    <w:name w:val="WW8Num37z0"/>
    <w:qFormat/>
    <w:rPr>
      <w:spacing w:val="0"/>
    </w:rPr>
  </w:style>
  <w:style w:type="character" w:styleId="WW8Num38z0">
    <w:name w:val="WW8Num38z0"/>
    <w:qFormat/>
    <w:rPr>
      <w:rFonts w:ascii="Symbol" w:hAnsi="Symbol" w:cs="Times New Roman"/>
      <w:b w:val="false"/>
      <w:i w:val="false"/>
      <w:caps w:val="false"/>
      <w:smallCaps w:val="false"/>
      <w:color w:val="000000"/>
      <w:spacing w:val="0"/>
      <w:sz w:val="28"/>
      <w:szCs w:val="28"/>
      <w:u w:val="none"/>
    </w:rPr>
  </w:style>
  <w:style w:type="character" w:styleId="WW8Num38z1">
    <w:name w:val="WW8Num38z1"/>
    <w:qFormat/>
    <w:rPr>
      <w:rFonts w:ascii="Marlett" w:hAnsi="Marlett" w:cs="Times New Roman"/>
      <w:b w:val="false"/>
      <w:i w:val="false"/>
      <w:caps w:val="false"/>
      <w:smallCaps w:val="false"/>
      <w:color w:val="000000"/>
      <w:spacing w:val="0"/>
      <w:sz w:val="20"/>
      <w:szCs w:val="20"/>
      <w:u w:val="none"/>
    </w:rPr>
  </w:style>
  <w:style w:type="character" w:styleId="WW8Num38z2">
    <w:name w:val="WW8Num38z2"/>
    <w:qFormat/>
    <w:rPr>
      <w:rFonts w:ascii="Wingdings" w:hAnsi="Wingdings" w:cs="Times New Roman"/>
      <w:b w:val="false"/>
      <w:i w:val="false"/>
      <w:caps w:val="false"/>
      <w:smallCaps w:val="false"/>
      <w:color w:val="000000"/>
      <w:spacing w:val="0"/>
      <w:sz w:val="20"/>
      <w:szCs w:val="20"/>
      <w:u w:val="none"/>
    </w:rPr>
  </w:style>
  <w:style w:type="character" w:styleId="WW8Num38z3">
    <w:name w:val="WW8Num38z3"/>
    <w:qFormat/>
    <w:rPr>
      <w:b w:val="false"/>
      <w:i w:val="false"/>
      <w:caps w:val="false"/>
      <w:smallCaps w:val="false"/>
      <w:color w:val="000000"/>
      <w:spacing w:val="0"/>
      <w:sz w:val="20"/>
      <w:szCs w:val="20"/>
      <w:u w:val="none"/>
    </w:rPr>
  </w:style>
  <w:style w:type="character" w:styleId="WW8Num38z4">
    <w:name w:val="WW8Num38z4"/>
    <w:qFormat/>
    <w:rPr>
      <w:b w:val="false"/>
      <w:i w:val="false"/>
      <w:caps w:val="false"/>
      <w:smallCaps w:val="false"/>
      <w:color w:val="000000"/>
      <w:spacing w:val="0"/>
      <w:sz w:val="24"/>
      <w:szCs w:val="24"/>
      <w:u w:val="none"/>
    </w:rPr>
  </w:style>
  <w:style w:type="character" w:styleId="WW8Num38z5">
    <w:name w:val="WW8Num38z5"/>
    <w:qFormat/>
    <w:rPr>
      <w:rFonts w:ascii="Times New Roman" w:hAnsi="Times New Roman" w:cs="Times New Roman"/>
      <w:b w:val="false"/>
      <w:i w:val="false"/>
      <w:caps w:val="false"/>
      <w:smallCaps w:val="false"/>
      <w:color w:val="000000"/>
      <w:spacing w:val="0"/>
      <w:u w:val="none"/>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rFonts w:ascii="Symbol" w:hAnsi="Symbol" w:cs="Times New Roman"/>
      <w:spacing w:val="0"/>
    </w:rPr>
  </w:style>
  <w:style w:type="character" w:styleId="WW8Num42z1">
    <w:name w:val="WW8Num42z1"/>
    <w:qFormat/>
    <w:rPr>
      <w:rFonts w:ascii="Courier New" w:hAnsi="Courier New" w:cs="Courier New"/>
      <w:spacing w:val="0"/>
    </w:rPr>
  </w:style>
  <w:style w:type="character" w:styleId="WW8Num42z2">
    <w:name w:val="WW8Num42z2"/>
    <w:qFormat/>
    <w:rPr>
      <w:rFonts w:ascii="Wingdings" w:hAnsi="Wingdings" w:cs="Times New Roman"/>
      <w:spacing w:val="0"/>
    </w:rPr>
  </w:style>
  <w:style w:type="character" w:styleId="WW8Num43z0">
    <w:name w:val="WW8Num43z0"/>
    <w:qFormat/>
    <w:rPr>
      <w:spacing w:val="0"/>
    </w:rPr>
  </w:style>
  <w:style w:type="character" w:styleId="WW8Num44z0">
    <w:name w:val="WW8Num44z0"/>
    <w:qFormat/>
    <w:rPr>
      <w:rFonts w:ascii="Times New Roman" w:hAnsi="Times New Roman" w:cs="Times New Roman"/>
      <w:b/>
      <w:i w:val="false"/>
      <w:caps/>
      <w:color w:val="000000"/>
      <w:spacing w:val="0"/>
      <w:u w:val="none"/>
    </w:rPr>
  </w:style>
  <w:style w:type="character" w:styleId="WW8Num44z1">
    <w:name w:val="WW8Num44z1"/>
    <w:qFormat/>
    <w:rPr>
      <w:rFonts w:ascii="Times New Roman" w:hAnsi="Times New Roman" w:cs="Times New Roman"/>
      <w:b/>
      <w:i w:val="false"/>
      <w:caps w:val="false"/>
      <w:smallCaps w:val="false"/>
      <w:color w:val="000000"/>
      <w:spacing w:val="0"/>
      <w:u w:val="none"/>
    </w:rPr>
  </w:style>
  <w:style w:type="character" w:styleId="WW8Num44z2">
    <w:name w:val="WW8Num44z2"/>
    <w:qFormat/>
    <w:rPr>
      <w:rFonts w:ascii="Times New Roman" w:hAnsi="Times New Roman" w:cs="Times New Roman"/>
      <w:b w:val="false"/>
      <w:i w:val="false"/>
      <w:caps w:val="false"/>
      <w:smallCaps w:val="false"/>
      <w:color w:val="000000"/>
      <w:spacing w:val="0"/>
      <w:u w:val="none"/>
    </w:rPr>
  </w:style>
  <w:style w:type="character" w:styleId="WW8Num45z0">
    <w:name w:val="WW8Num45z0"/>
    <w:qFormat/>
    <w:rPr>
      <w:spacing w:val="0"/>
    </w:rPr>
  </w:style>
  <w:style w:type="character" w:styleId="WW8Num46z0">
    <w:name w:val="WW8Num46z0"/>
    <w:qFormat/>
    <w:rPr>
      <w:rFonts w:ascii="Bembo" w:hAnsi="Bembo" w:cs="Times New Roman"/>
      <w:spacing w:val="0"/>
      <w:sz w:val="26"/>
      <w:szCs w:val="26"/>
    </w:rPr>
  </w:style>
  <w:style w:type="character" w:styleId="WW8Num46z1">
    <w:name w:val="WW8Num46z1"/>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rFonts w:ascii="Times New Roman" w:hAnsi="Times New Roman" w:cs="Times New Roman"/>
      <w:b w:val="false"/>
      <w:i w:val="false"/>
      <w:caps w:val="false"/>
      <w:smallCaps w:val="false"/>
      <w:color w:val="000000"/>
      <w:spacing w:val="0"/>
      <w:u w:val="none"/>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rFonts w:ascii="Symbol" w:hAnsi="Symbol" w:cs="Times New Roman"/>
      <w:spacing w:val="0"/>
    </w:rPr>
  </w:style>
  <w:style w:type="character" w:styleId="WW8Num54z1">
    <w:name w:val="WW8Num54z1"/>
    <w:qFormat/>
    <w:rPr>
      <w:rFonts w:ascii="Courier New" w:hAnsi="Courier New" w:cs="Courier New"/>
      <w:spacing w:val="0"/>
    </w:rPr>
  </w:style>
  <w:style w:type="character" w:styleId="WW8Num54z2">
    <w:name w:val="WW8Num54z2"/>
    <w:qFormat/>
    <w:rPr>
      <w:rFonts w:ascii="Wingdings" w:hAnsi="Wingdings" w:cs="Times New Roman"/>
      <w:spacing w:val="0"/>
    </w:rPr>
  </w:style>
  <w:style w:type="character" w:styleId="WW8Num55z0">
    <w:name w:val="WW8Num55z0"/>
    <w:qFormat/>
    <w:rPr>
      <w:rFonts w:ascii="Times New Roman" w:hAnsi="Times New Roman" w:cs="Times New Roman"/>
      <w:b/>
      <w:i w:val="false"/>
      <w:caps w:val="false"/>
      <w:smallCaps w:val="false"/>
      <w:color w:val="000000"/>
      <w:spacing w:val="0"/>
      <w:u w:val="none"/>
    </w:rPr>
  </w:style>
  <w:style w:type="character" w:styleId="WW8Num55z1">
    <w:name w:val="WW8Num55z1"/>
    <w:qFormat/>
    <w:rPr>
      <w:rFonts w:ascii="Times New Roman" w:hAnsi="Times New Roman" w:cs="Times New Roman"/>
      <w:b w:val="false"/>
      <w:i w:val="false"/>
      <w:caps w:val="false"/>
      <w:smallCaps w:val="false"/>
      <w:color w:val="000000"/>
      <w:spacing w:val="0"/>
      <w:u w:val="none"/>
    </w:rPr>
  </w:style>
  <w:style w:type="character" w:styleId="WW8Num56z0">
    <w:name w:val="WW8Num56z0"/>
    <w:qFormat/>
    <w:rPr>
      <w:spacing w:val="0"/>
    </w:rPr>
  </w:style>
  <w:style w:type="character" w:styleId="WW8Num57z0">
    <w:name w:val="WW8Num57z0"/>
    <w:qFormat/>
    <w:rPr>
      <w:rFonts w:ascii="Bembo" w:hAnsi="Bembo" w:cs="Times New Roman"/>
      <w:b w:val="false"/>
      <w:i w:val="false"/>
      <w:spacing w:val="0"/>
      <w:sz w:val="26"/>
      <w:szCs w:val="26"/>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pPr>
    <w:rPr>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bCs/>
    </w:rPr>
  </w:style>
  <w:style w:type="paragraph" w:styleId="ParaHeading">
    <w:name w:val="ParaHeading"/>
    <w:basedOn w:val="Normal"/>
    <w:next w:val="BodyText"/>
    <w:qFormat/>
    <w:pPr>
      <w:keepNext w:val="true"/>
    </w:pPr>
    <w:rPr>
      <w:b/>
      <w:bCs/>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jc w:val="both"/>
    </w:pPr>
    <w:rPr/>
  </w:style>
  <w:style w:type="paragraph" w:styleId="EnvelopeAddress">
    <w:name w:val="envelope address"/>
    <w:basedOn w:val="Normal"/>
    <w:pPr>
      <w:spacing w:before="0" w:after="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16"/>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10"/>
      </w:numPr>
      <w:tabs>
        <w:tab w:val="clear" w:pos="720"/>
        <w:tab w:val="left" w:pos="360" w:leader="none"/>
      </w:tabs>
      <w:ind w:hanging="360" w:start="360" w:end="0"/>
    </w:pPr>
    <w:rPr/>
  </w:style>
  <w:style w:type="paragraph" w:styleId="ListBullet21">
    <w:name w:val="List Bullet 21"/>
    <w:basedOn w:val="Normal"/>
    <w:qFormat/>
    <w:pPr>
      <w:numPr>
        <w:ilvl w:val="0"/>
        <w:numId w:val="7"/>
      </w:numPr>
      <w:ind w:hanging="360" w:start="360" w:end="0"/>
    </w:pPr>
    <w:rPr/>
  </w:style>
  <w:style w:type="paragraph" w:styleId="ListBullet31">
    <w:name w:val="List Bullet 31"/>
    <w:basedOn w:val="Normal"/>
    <w:qFormat/>
    <w:pPr>
      <w:numPr>
        <w:ilvl w:val="0"/>
        <w:numId w:val="2"/>
      </w:numPr>
      <w:ind w:hanging="360" w:start="36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BodyText3">
    <w:name w:val="Body Text 3"/>
    <w:basedOn w:val="Normal"/>
    <w:qFormat/>
    <w:pPr>
      <w:jc w:val="both"/>
    </w:pPr>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8"/>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5"/>
      </w:numPr>
      <w:tabs>
        <w:tab w:val="clear" w:pos="720"/>
        <w:tab w:val="left" w:pos="1710" w:leader="none"/>
      </w:tabs>
      <w:ind w:hanging="360" w:start="1710" w:end="0"/>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1"/>
      </w:numPr>
      <w:tabs>
        <w:tab w:val="clear" w:pos="720"/>
        <w:tab w:val="left" w:pos="360" w:leader="none"/>
      </w:tabs>
      <w:ind w:hanging="360" w:start="36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2001-04-18T20:09:00Z</dcterms:created>
  <dc:creator>Cairns, Alison</dc:creator>
  <dc:description>RANCE, BRIANÿþFINANCEýüûúùDocumentsøIN÷öõFINANCEôSTANDARDó49òFF-DOC.DOTñ</dc:description>
  <dc:language>en-CA</dc:language>
  <cp:lastModifiedBy>Freshfields Bruckhaus Deringer LLP</cp:lastModifiedBy>
  <cp:lastPrinted>2001-04-01T11:51:00Z</cp:lastPrinted>
  <dcterms:modified xsi:type="dcterms:W3CDTF">2001-04-18T20:11:00Z</dcterms:modified>
  <cp:revision>3</cp:revision>
  <dc:subject>4+</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YES</vt:lpwstr>
  </property>
  <property fmtid="{D5CDD505-2E9C-101B-9397-08002B2CF9AE}" pid="4" name="Date Sent">
    <vt:r8>5</vt:r8>
  </property>
  <property fmtid="{D5CDD505-2E9C-101B-9397-08002B2CF9AE}" pid="5" name="DeltaView File">
    <vt:bool>1</vt:bool>
  </property>
</Properties>
</file>