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ltaViewTableBody"/>
        <w:rPr/>
      </w:pPr>
      <w:bookmarkStart w:id="0" w:name="_DV_X0"/>
      <w:bookmarkEnd w:id="0"/>
      <w:r>
        <w:rPr/>
        <w:t xml:space="preserve">Document comparison done by </w:t>
      </w:r>
      <w:bookmarkStart w:id="1" w:name="Program"/>
      <w:r>
        <w:rPr/>
        <w:t>DeltaView</w:t>
      </w:r>
      <w:bookmarkEnd w:id="1"/>
      <w:r>
        <w:rPr/>
        <w:t xml:space="preserve"> on </w:t>
      </w:r>
      <w:bookmarkStart w:id="2" w:name="Date"/>
      <w:r>
        <w:rPr/>
        <w:t>Wednesday, November 08, 2000 12:02:07</w:t>
      </w:r>
      <w:bookmarkEnd w:id="2"/>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 w:name="Doc1"/>
            <w:r>
              <w:rPr/>
              <w:t>C:\My Documents\ClearView\WINWORD\files\Copy.001</w:t>
            </w:r>
            <w:bookmarkEnd w:id="3"/>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4" w:name="Doc2"/>
            <w:r>
              <w:rPr/>
              <w:t>C:\My Documents\ClearView\WINWORD\files\NY003678.709</w:t>
            </w:r>
            <w:bookmarkEnd w:id="4"/>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5" w:name="RenderingSet"/>
            <w:r>
              <w:rPr/>
              <w:t>Freshfields Strikethrough</w:t>
            </w:r>
            <w:bookmarkEnd w:id="5"/>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6" w:name="Leg_Ins"/>
            <w:r>
              <w:rPr>
                <w:rStyle w:val="DeltaViewInsertion"/>
                <w:rFonts w:cs="Times New Roman" w:ascii="Times New Roman" w:hAnsi="Times New Roman"/>
              </w:rPr>
              <w:t xml:space="preserve">Insertion </w:t>
            </w:r>
            <w:bookmarkEnd w:id="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7" w:name="Leg_Del"/>
            <w:r>
              <w:rPr>
                <w:rStyle w:val="DeltaViewDeletion"/>
                <w:rFonts w:cs="Times New Roman" w:ascii="Times New Roman" w:hAnsi="Times New Roman"/>
              </w:rPr>
              <w:t xml:space="preserve">Deletion </w:t>
            </w:r>
            <w:bookmarkEnd w:id="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i/>
                <w:i/>
                <w:iCs/>
                <w:strike/>
                <w:color w:val="666666"/>
              </w:rPr>
            </w:pPr>
            <w:bookmarkStart w:id="8" w:name="Leg_MoveSource"/>
            <w:r>
              <w:rPr>
                <w:rStyle w:val="DeltaViewMoveSource"/>
                <w:rFonts w:cs="Times New Roman" w:ascii="Times New Roman" w:hAnsi="Times New Roman"/>
              </w:rPr>
              <w:t xml:space="preserve">Moved from </w:t>
            </w:r>
            <w:bookmarkEnd w:id="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i/>
                <w:i/>
                <w:iCs/>
                <w:color w:val="666666"/>
                <w:u w:val="double"/>
              </w:rPr>
            </w:pPr>
            <w:bookmarkStart w:id="9" w:name="Leg_MoveDest"/>
            <w:r>
              <w:rPr>
                <w:rStyle w:val="DeltaViewMoveDestination"/>
                <w:rFonts w:cs="Times New Roman" w:ascii="Times New Roman" w:hAnsi="Times New Roman"/>
              </w:rPr>
              <w:t xml:space="preserve">Moved to </w:t>
            </w:r>
            <w:bookmarkEnd w:id="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10" w:name="Leg_FormatChange"/>
            <w:r>
              <w:rPr>
                <w:rStyle w:val="DeltaViewFormatChange"/>
                <w:rFonts w:cs="Times New Roman" w:ascii="Times New Roman" w:hAnsi="Times New Roman"/>
                <w:color w:val="000000"/>
                <w:highlight w:val="white"/>
              </w:rPr>
              <w:t xml:space="preserve">Format change </w:t>
            </w:r>
            <w:bookmarkEnd w:id="1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E5E5E5" w:val="clear"/>
            <w:vAlign w:val="center"/>
          </w:tcPr>
          <w:p>
            <w:pPr>
              <w:pStyle w:val="DeltaViewTableBody"/>
              <w:rPr/>
            </w:pPr>
            <w:bookmarkStart w:id="11" w:name="Cell_Ins"/>
            <w:bookmarkEnd w:id="11"/>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CCCCCC" w:val="clear"/>
            <w:vAlign w:val="center"/>
          </w:tcPr>
          <w:p>
            <w:pPr>
              <w:pStyle w:val="DeltaViewTableBody"/>
              <w:rPr/>
            </w:pPr>
            <w:bookmarkStart w:id="12" w:name="Cell_Del"/>
            <w:bookmarkEnd w:id="12"/>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7F7F7F" w:val="clear"/>
            <w:vAlign w:val="center"/>
          </w:tcPr>
          <w:p>
            <w:pPr>
              <w:pStyle w:val="DeltaViewTableBody"/>
              <w:snapToGrid w:val="false"/>
              <w:rPr/>
            </w:pPr>
            <w:r>
              <w:rPr/>
            </w:r>
            <w:bookmarkStart w:id="13" w:name="Cell_Move"/>
            <w:bookmarkStart w:id="14" w:name="Cell_Move"/>
            <w:bookmarkEnd w:id="1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4C4C4C" w:val="clear"/>
            <w:vAlign w:val="center"/>
          </w:tcPr>
          <w:p>
            <w:pPr>
              <w:pStyle w:val="DeltaViewTableBody"/>
              <w:snapToGrid w:val="false"/>
              <w:rPr/>
            </w:pPr>
            <w:r>
              <w:rPr/>
            </w:r>
            <w:bookmarkStart w:id="15" w:name="Cell_Merge"/>
            <w:bookmarkStart w:id="16" w:name="Cell_Merge"/>
            <w:bookmarkEnd w:id="1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333333" w:val="clear"/>
            <w:vAlign w:val="center"/>
          </w:tcPr>
          <w:p>
            <w:pPr>
              <w:pStyle w:val="DeltaViewTableBody"/>
              <w:snapToGrid w:val="false"/>
              <w:rPr/>
            </w:pPr>
            <w:r>
              <w:rPr/>
            </w:r>
            <w:bookmarkStart w:id="17" w:name="Cell_Pad"/>
            <w:bookmarkStart w:id="18" w:name="Cell_Pad"/>
            <w:bookmarkEnd w:id="18"/>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9" w:name="Stat_Ins"/>
            <w:r>
              <w:rPr/>
              <w:t>0</w:t>
            </w:r>
            <w:bookmarkEnd w:id="1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0" w:name="Stat_InsP"/>
            <w:r>
              <w:rPr/>
              <w:t>0.00</w:t>
            </w:r>
            <w:bookmarkEnd w:id="2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 w:name="Stat_Del"/>
            <w:r>
              <w:rPr/>
              <w:t>2</w:t>
            </w:r>
            <w:bookmarkEnd w:id="2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2" w:name="Stat_DelP"/>
            <w:r>
              <w:rPr/>
              <w:t>0.07</w:t>
            </w:r>
            <w:bookmarkEnd w:id="2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3" w:name="Stat_Move"/>
            <w:r>
              <w:rPr/>
              <w:t>0</w:t>
            </w:r>
            <w:bookmarkEnd w:id="2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4" w:name="Stat_MoveP"/>
            <w:r>
              <w:rPr/>
              <w:t>0.00</w:t>
            </w:r>
            <w:bookmarkEnd w:id="2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5" w:name="Stat_Match"/>
            <w:r>
              <w:rPr/>
              <w:t>3</w:t>
            </w:r>
            <w:bookmarkEnd w:id="2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 w:name="Stat_MatchP"/>
            <w:r>
              <w:rPr/>
              <w:t>99.93</w:t>
            </w:r>
            <w:bookmarkEnd w:id="2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 w:name="Stat_Change"/>
            <w:r>
              <w:rPr/>
              <w:t>0</w:t>
            </w:r>
            <w:bookmarkEnd w:id="2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8" w:name="Stat_ChangeP"/>
            <w:r>
              <w:rPr/>
              <w:t>0.00</w:t>
            </w:r>
            <w:bookmarkEnd w:id="28"/>
            <w:r>
              <w:rPr/>
              <w:t>%</w:t>
            </w:r>
          </w:p>
        </w:tc>
      </w:tr>
    </w:tbl>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TOC1"/>
        <w:keepNext w:val="false"/>
        <w:pBdr>
          <w:bottom w:val="double" w:sz="6" w:space="1" w:color="000000"/>
        </w:pBdr>
        <w:tabs>
          <w:tab w:val="clear" w:pos="83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before="0" w:after="240"/>
        <w:rPr>
          <w:caps w:val="false"/>
          <w:smallCaps w:val="false"/>
          <w:lang w:val="en-GB"/>
        </w:rPr>
      </w:pPr>
      <w:r>
        <w:rPr>
          <w:caps w:val="false"/>
          <w:smallCaps w:val="false"/>
          <w:lang w:val="en-GB"/>
        </w:rPr>
      </w:r>
      <w:bookmarkStart w:id="29" w:name="_DV_X0"/>
      <w:bookmarkStart w:id="30" w:name="_DV_X0"/>
      <w:bookmarkEnd w:id="30"/>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caps/>
          <w:lang w:val="en-GB"/>
        </w:rPr>
      </w:pPr>
      <w:r>
        <w:rPr>
          <w:caps/>
          <w:lang w:val="en-GB"/>
        </w:rPr>
      </w:r>
    </w:p>
    <w:p>
      <w:pPr>
        <w:pStyle w:val="End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24"/>
          <w:szCs w:val="24"/>
          <w:lang w:val="en-GB"/>
        </w:rPr>
      </w:pPr>
      <w:r>
        <w:rPr>
          <w:sz w:val="24"/>
          <w:szCs w:val="24"/>
          <w:lang w:val="en-GB"/>
        </w:rPr>
      </w:r>
    </w:p>
    <w:p>
      <w:pPr>
        <w:pStyle w:val="Normal"/>
        <w:numPr>
          <w:ilvl w:val="0"/>
          <w:numId w:val="0"/>
        </w:numPr>
        <w:tabs>
          <w:tab w:val="clear" w:pos="720"/>
          <w:tab w:val="center" w:pos="4680" w:leader="none"/>
        </w:tabs>
        <w:suppressAutoHyphens w:val="true"/>
        <w:jc w:val="center"/>
        <w:outlineLvl w:val="0"/>
        <w:rPr/>
      </w:pPr>
      <w:bookmarkStart w:id="31" w:name="_DV_M0"/>
      <w:bookmarkEnd w:id="31"/>
      <w:r>
        <w:rPr/>
        <w:t>CENTRAL BANK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r>
    </w:p>
    <w:p>
      <w:pPr>
        <w:pStyle w:val="Normal"/>
        <w:tabs>
          <w:tab w:val="clear" w:pos="720"/>
          <w:tab w:val="center" w:pos="4680" w:leader="none"/>
        </w:tabs>
        <w:suppressAutoHyphens w:val="true"/>
        <w:rPr/>
      </w:pPr>
      <w:r>
        <w:rPr/>
      </w:r>
    </w:p>
    <w:p>
      <w:pPr>
        <w:pStyle w:val="Normal"/>
        <w:numPr>
          <w:ilvl w:val="0"/>
          <w:numId w:val="0"/>
        </w:numPr>
        <w:tabs>
          <w:tab w:val="clear" w:pos="720"/>
          <w:tab w:val="center" w:pos="4680" w:leader="none"/>
        </w:tabs>
        <w:suppressAutoHyphens w:val="true"/>
        <w:jc w:val="center"/>
        <w:outlineLvl w:val="0"/>
        <w:rPr/>
      </w:pPr>
      <w:bookmarkStart w:id="32" w:name="_DV_M1"/>
      <w:bookmarkEnd w:id="32"/>
      <w:r>
        <w:rPr/>
        <w:t>Dated as of  _________ ___, 200_</w:t>
      </w:r>
    </w:p>
    <w:p>
      <w:pPr>
        <w:pStyle w:val="Normal"/>
        <w:tabs>
          <w:tab w:val="clear" w:pos="720"/>
          <w:tab w:val="center" w:pos="4680" w:leader="none"/>
        </w:tabs>
        <w:suppressAutoHyphens w:val="true"/>
        <w:jc w:val="center"/>
        <w:rPr/>
      </w:pPr>
      <w:r>
        <w:rPr/>
      </w:r>
    </w:p>
    <w:p>
      <w:pPr>
        <w:pStyle w:val="Normal"/>
        <w:tabs>
          <w:tab w:val="clear" w:pos="720"/>
          <w:tab w:val="center" w:pos="4680" w:leader="none"/>
        </w:tabs>
        <w:suppressAutoHyphens w:val="true"/>
        <w:jc w:val="center"/>
        <w:rPr/>
      </w:pPr>
      <w:bookmarkStart w:id="33" w:name="_DV_M2"/>
      <w:bookmarkEnd w:id="33"/>
      <w:r>
        <w:rPr/>
        <w:t>among</w:t>
      </w:r>
    </w:p>
    <w:p>
      <w:pPr>
        <w:pStyle w:val="Normal"/>
        <w:tabs>
          <w:tab w:val="clear" w:pos="720"/>
          <w:tab w:val="center" w:pos="4680" w:leader="none"/>
        </w:tabs>
        <w:suppressAutoHyphens w:val="true"/>
        <w:jc w:val="center"/>
        <w:rPr>
          <w:caps/>
        </w:rPr>
      </w:pPr>
      <w:bookmarkStart w:id="34" w:name="_DV_M3"/>
      <w:bookmarkEnd w:id="34"/>
      <w:r>
        <w:rPr>
          <w:caps/>
        </w:rPr>
        <w:t>ENRON CORP.,</w:t>
      </w:r>
    </w:p>
    <w:p>
      <w:pPr>
        <w:pStyle w:val="Normal"/>
        <w:tabs>
          <w:tab w:val="clear" w:pos="720"/>
          <w:tab w:val="center" w:pos="4680" w:leader="none"/>
        </w:tabs>
        <w:suppressAutoHyphens w:val="true"/>
        <w:jc w:val="center"/>
        <w:rPr>
          <w:caps/>
        </w:rPr>
      </w:pPr>
      <w:bookmarkStart w:id="35" w:name="_DV_M4"/>
      <w:bookmarkEnd w:id="35"/>
      <w:r>
        <w:rPr>
          <w:caps/>
        </w:rPr>
        <w:t xml:space="preserve">SHELL OVERSEAS TRADING LIMITED, </w:t>
      </w:r>
    </w:p>
    <w:p>
      <w:pPr>
        <w:pStyle w:val="Normal"/>
        <w:tabs>
          <w:tab w:val="clear" w:pos="720"/>
          <w:tab w:val="center" w:pos="4680" w:leader="none"/>
        </w:tabs>
        <w:suppressAutoHyphens w:val="true"/>
        <w:jc w:val="center"/>
        <w:rPr>
          <w:caps/>
          <w:lang w:val="es-ES"/>
        </w:rPr>
      </w:pPr>
      <w:bookmarkStart w:id="36" w:name="_DV_M5"/>
      <w:bookmarkEnd w:id="36"/>
      <w:r>
        <w:rPr>
          <w:caps/>
          <w:lang w:val="es-ES"/>
        </w:rPr>
        <w:t xml:space="preserve">EPE-EMPRESA PRODUTORA DE ENERGIA LTDA., </w:t>
      </w:r>
    </w:p>
    <w:p>
      <w:pPr>
        <w:pStyle w:val="Normal"/>
        <w:tabs>
          <w:tab w:val="clear" w:pos="720"/>
          <w:tab w:val="center" w:pos="4680" w:leader="none"/>
        </w:tabs>
        <w:suppressAutoHyphens w:val="true"/>
        <w:jc w:val="center"/>
        <w:rPr>
          <w:caps/>
          <w:lang w:val="es-ES"/>
        </w:rPr>
      </w:pPr>
      <w:bookmarkStart w:id="37" w:name="_DV_M6"/>
      <w:bookmarkEnd w:id="37"/>
      <w:r>
        <w:rPr>
          <w:caps/>
          <w:lang w:val="es-ES"/>
        </w:rPr>
        <w:t>GASORIENTE BOLIVIANO LTDA.,</w:t>
      </w:r>
    </w:p>
    <w:p>
      <w:pPr>
        <w:pStyle w:val="Normal"/>
        <w:tabs>
          <w:tab w:val="clear" w:pos="720"/>
          <w:tab w:val="center" w:pos="4680" w:leader="none"/>
        </w:tabs>
        <w:suppressAutoHyphens w:val="true"/>
        <w:jc w:val="center"/>
        <w:rPr>
          <w:caps/>
          <w:lang w:val="en-GB"/>
        </w:rPr>
      </w:pPr>
      <w:bookmarkStart w:id="38" w:name="_DV_M7"/>
      <w:bookmarkEnd w:id="38"/>
      <w:r>
        <w:rPr>
          <w:caps/>
          <w:lang w:val="en-GB"/>
        </w:rPr>
        <w:t>GASOCIDENTE DO MATO GROSSO LTDA.,</w:t>
      </w:r>
    </w:p>
    <w:p>
      <w:pPr>
        <w:pStyle w:val="Normal"/>
        <w:tabs>
          <w:tab w:val="clear" w:pos="720"/>
          <w:tab w:val="center" w:pos="4680" w:leader="none"/>
        </w:tabs>
        <w:suppressAutoHyphens w:val="true"/>
        <w:jc w:val="center"/>
        <w:rPr>
          <w:caps/>
        </w:rPr>
      </w:pPr>
      <w:bookmarkStart w:id="39" w:name="_DV_M8"/>
      <w:bookmarkEnd w:id="39"/>
      <w:r>
        <w:rPr>
          <w:caps/>
        </w:rPr>
        <w:t>OVERSEAS PRIVATE INVESTMENT CORPORATION,</w:t>
      </w:r>
    </w:p>
    <w:p>
      <w:pPr>
        <w:pStyle w:val="Normal"/>
        <w:tabs>
          <w:tab w:val="clear" w:pos="720"/>
          <w:tab w:val="center" w:pos="4680" w:leader="none"/>
        </w:tabs>
        <w:suppressAutoHyphens w:val="true"/>
        <w:jc w:val="center"/>
        <w:rPr>
          <w:b/>
          <w:bCs/>
          <w:caps/>
        </w:rPr>
      </w:pPr>
      <w:bookmarkStart w:id="40" w:name="_DV_M9"/>
      <w:bookmarkEnd w:id="40"/>
      <w:r>
        <w:rPr>
          <w:caps/>
        </w:rPr>
        <w:t>KREDITANSTALT  FUR WIEDERAUFBAU,</w:t>
      </w:r>
    </w:p>
    <w:p>
      <w:pPr>
        <w:pStyle w:val="Normal"/>
        <w:tabs>
          <w:tab w:val="clear" w:pos="720"/>
          <w:tab w:val="center" w:pos="4680" w:leader="none"/>
        </w:tabs>
        <w:suppressAutoHyphens w:val="true"/>
        <w:jc w:val="center"/>
        <w:rPr/>
      </w:pPr>
      <w:bookmarkStart w:id="41" w:name="_DV_M10"/>
      <w:bookmarkEnd w:id="41"/>
      <w:r>
        <w:rPr/>
        <w:t>and</w:t>
      </w:r>
    </w:p>
    <w:p>
      <w:pPr>
        <w:pStyle w:val="Normal"/>
        <w:tabs>
          <w:tab w:val="clear" w:pos="720"/>
          <w:tab w:val="center" w:pos="4680" w:leader="none"/>
        </w:tabs>
        <w:suppressAutoHyphens w:val="true"/>
        <w:spacing w:before="0" w:after="0"/>
        <w:jc w:val="center"/>
        <w:rPr/>
      </w:pPr>
      <w:bookmarkStart w:id="42" w:name="_DV_M11"/>
      <w:bookmarkEnd w:id="42"/>
      <w:r>
        <w:rPr/>
        <w:t>CITIBANK, N.A.,</w:t>
      </w:r>
    </w:p>
    <w:p>
      <w:pPr>
        <w:pStyle w:val="Normal"/>
        <w:tabs>
          <w:tab w:val="clear" w:pos="720"/>
          <w:tab w:val="center" w:pos="4680" w:leader="none"/>
        </w:tabs>
        <w:suppressAutoHyphens w:val="true"/>
        <w:jc w:val="center"/>
        <w:rPr>
          <w:lang w:val="en-GB"/>
        </w:rPr>
      </w:pPr>
      <w:bookmarkStart w:id="43" w:name="_DV_M12"/>
      <w:bookmarkEnd w:id="43"/>
      <w:r>
        <w:rPr>
          <w:lang w:val="en-GB"/>
        </w:rPr>
        <w:t>as Common Agent</w:t>
      </w:r>
    </w:p>
    <w:p>
      <w:pPr>
        <w:pStyle w:val="Normal"/>
        <w:tabs>
          <w:tab w:val="clear" w:pos="720"/>
          <w:tab w:val="center" w:pos="4680" w:leader="none"/>
        </w:tabs>
        <w:suppressAutoHyphens w:val="true"/>
        <w:jc w:val="center"/>
        <w:rPr>
          <w:lang w:val="en-GB"/>
        </w:rPr>
      </w:pPr>
      <w:r>
        <w:rPr>
          <w:lang w:val="en-GB"/>
        </w:rPr>
      </w:r>
    </w:p>
    <w:p>
      <w:pPr>
        <w:pStyle w:val="Normal"/>
        <w:pBdr>
          <w:bottom w:val="double" w:sz="6" w:space="1" w:color="000000"/>
        </w:pBdr>
        <w:tabs>
          <w:tab w:val="clear" w:pos="720"/>
          <w:tab w:val="center" w:pos="4680" w:leader="none"/>
        </w:tabs>
        <w:suppressAutoHyphens w:val="true"/>
        <w:rPr>
          <w:lang w:val="en-GB"/>
        </w:rPr>
      </w:pPr>
      <w:r>
        <w:rPr>
          <w:lang w:val="en-GB"/>
        </w:rPr>
      </w:r>
    </w:p>
    <w:p>
      <w:pPr>
        <w:pStyle w:val="Normal"/>
        <w:pBdr>
          <w:bottom w:val="double" w:sz="6" w:space="1" w:color="000000"/>
        </w:pBdr>
        <w:tabs>
          <w:tab w:val="clear" w:pos="720"/>
          <w:tab w:val="center" w:pos="4680" w:leader="none"/>
        </w:tabs>
        <w:suppressAutoHyphens w:val="true"/>
        <w:jc w:val="center"/>
        <w:rPr>
          <w:lang w:val="en-GB"/>
        </w:rPr>
      </w:pPr>
      <w:r>
        <w:rPr>
          <w:lang w:val="en-GB"/>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BodyText"/>
        <w:jc w:val="center"/>
        <w:rPr>
          <w:b/>
          <w:bCs/>
          <w:lang w:val="en-GB"/>
        </w:rPr>
      </w:pPr>
      <w:r>
        <w:rPr>
          <w:b/>
          <w:bCs/>
          <w:lang w:val="en-GB"/>
        </w:rPr>
      </w:r>
    </w:p>
    <w:p>
      <w:pPr>
        <w:pStyle w:val="IndexHeading"/>
        <w:keepNext w:val="true"/>
        <w:keepLines/>
        <w:numPr>
          <w:ilvl w:val="0"/>
          <w:numId w:val="0"/>
        </w:numPr>
        <w:outlineLvl w:val="0"/>
        <w:rPr>
          <w:lang w:val="fr-FR"/>
        </w:rPr>
      </w:pPr>
      <w:bookmarkStart w:id="44" w:name="_DV_M13"/>
      <w:bookmarkEnd w:id="44"/>
      <w:r>
        <w:rPr>
          <w:lang w:val="fr-FR"/>
        </w:rPr>
        <w:t>CONTENTS</w:t>
      </w:r>
    </w:p>
    <w:p>
      <w:pPr>
        <w:pStyle w:val="indexhead2"/>
        <w:rPr>
          <w:lang w:val="fr-FR"/>
        </w:rPr>
      </w:pPr>
      <w:bookmarkStart w:id="45" w:name="_DV_M14"/>
      <w:bookmarkEnd w:id="45"/>
      <w:r>
        <w:rPr>
          <w:lang w:val="fr-FR"/>
        </w:rPr>
        <w:t>Clause</w:t>
        <w:tab/>
        <w:t>Page</w:t>
      </w:r>
    </w:p>
    <w:p>
      <w:pPr>
        <w:pStyle w:val="TOC2"/>
        <w:numPr>
          <w:ilvl w:val="0"/>
          <w:numId w:val="21"/>
        </w:numPr>
        <w:ind w:hanging="0" w:start="0"/>
        <w:rPr>
          <w:rFonts w:eastAsia="Times New Roman"/>
          <w:caps w:val="false"/>
          <w:smallCaps w:val="false"/>
          <w:lang w:val="en-CA" w:eastAsia="en-CA"/>
        </w:rPr>
      </w:pPr>
      <w:bookmarkStart w:id="46" w:name="_DV_M15"/>
      <w:bookmarkEnd w:id="46"/>
      <w:r>
        <w:rPr>
          <w:lang w:val="en-CA" w:eastAsia="en-CA"/>
        </w:rPr>
        <w:t>ARTICLE 1.  Definitions; Interpretation</w:t>
        <w:tab/>
      </w:r>
      <w:r>
        <w:rPr>
          <w:lang w:val="en-CA" w:eastAsia="en-CA"/>
        </w:rPr>
        <w:fldChar w:fldCharType="begin"/>
      </w:r>
      <w:r>
        <w:rPr>
          <w:lang w:val="en-CA" w:eastAsia="en-CA"/>
        </w:rPr>
        <w:instrText xml:space="preserve"> PAGEREF __RefHeading___Toc495746133 \h </w:instrText>
      </w:r>
      <w:r>
        <w:rPr>
          <w:lang w:val="en-CA" w:eastAsia="en-CA"/>
        </w:rPr>
        <w:fldChar w:fldCharType="separate"/>
      </w:r>
      <w:r>
        <w:rPr>
          <w:lang w:val="en-CA" w:eastAsia="en-CA"/>
        </w:rPr>
        <w:t>6</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47" w:name="_DV_M16"/>
      <w:bookmarkEnd w:id="47"/>
      <w:r>
        <w:rPr>
          <w:lang w:val="en-CA" w:eastAsia="en-CA"/>
        </w:rPr>
        <w:t>1.1</w:t>
      </w:r>
      <w:r>
        <w:rPr>
          <w:rFonts w:eastAsia="Times New Roman"/>
          <w:lang w:val="en-CA" w:eastAsia="en-CA"/>
        </w:rPr>
        <w:tab/>
      </w:r>
      <w:r>
        <w:rPr>
          <w:lang w:val="en-CA" w:eastAsia="en-CA"/>
        </w:rPr>
        <w:t>Definitions.</w:t>
        <w:tab/>
      </w:r>
      <w:r>
        <w:rPr>
          <w:lang w:val="en-CA" w:eastAsia="en-CA"/>
        </w:rPr>
        <w:fldChar w:fldCharType="begin"/>
      </w:r>
      <w:r>
        <w:rPr>
          <w:lang w:val="en-CA" w:eastAsia="en-CA"/>
        </w:rPr>
        <w:instrText xml:space="preserve"> PAGEREF __RefHeading___Toc495746134 \h </w:instrText>
      </w:r>
      <w:r>
        <w:rPr>
          <w:lang w:val="en-CA" w:eastAsia="en-CA"/>
        </w:rPr>
        <w:fldChar w:fldCharType="separate"/>
      </w:r>
      <w:r>
        <w:rPr>
          <w:lang w:val="en-CA" w:eastAsia="en-CA"/>
        </w:rPr>
        <w:t>6</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48" w:name="_DV_M17"/>
      <w:bookmarkEnd w:id="48"/>
      <w:r>
        <w:rPr>
          <w:lang w:val="en-CA" w:eastAsia="en-CA"/>
        </w:rPr>
        <w:t>1.2</w:t>
      </w:r>
      <w:r>
        <w:rPr>
          <w:rFonts w:eastAsia="Times New Roman"/>
          <w:lang w:val="en-CA" w:eastAsia="en-CA"/>
        </w:rPr>
        <w:tab/>
      </w:r>
      <w:r>
        <w:rPr>
          <w:lang w:val="en-CA" w:eastAsia="en-CA"/>
        </w:rPr>
        <w:t>Interpretation.</w:t>
        <w:tab/>
      </w:r>
      <w:r>
        <w:rPr>
          <w:lang w:val="en-CA" w:eastAsia="en-CA"/>
        </w:rPr>
        <w:fldChar w:fldCharType="begin"/>
      </w:r>
      <w:r>
        <w:rPr>
          <w:lang w:val="en-CA" w:eastAsia="en-CA"/>
        </w:rPr>
        <w:instrText xml:space="preserve"> PAGEREF __RefHeading___Toc495746135 \h </w:instrText>
      </w:r>
      <w:r>
        <w:rPr>
          <w:lang w:val="en-CA" w:eastAsia="en-CA"/>
        </w:rPr>
        <w:fldChar w:fldCharType="separate"/>
      </w:r>
      <w:r>
        <w:rPr>
          <w:lang w:val="en-CA" w:eastAsia="en-CA"/>
        </w:rPr>
        <w:t>8</w:t>
      </w:r>
      <w:r>
        <w:rPr>
          <w:lang w:val="en-CA" w:eastAsia="en-CA"/>
        </w:rPr>
        <w:fldChar w:fldCharType="end"/>
      </w:r>
    </w:p>
    <w:p>
      <w:pPr>
        <w:pStyle w:val="TOC2"/>
        <w:numPr>
          <w:ilvl w:val="0"/>
          <w:numId w:val="21"/>
        </w:numPr>
        <w:ind w:hanging="0" w:start="0"/>
        <w:rPr>
          <w:rFonts w:eastAsia="Times New Roman"/>
          <w:caps w:val="false"/>
          <w:smallCaps w:val="false"/>
          <w:lang w:val="en-CA" w:eastAsia="en-CA"/>
        </w:rPr>
      </w:pPr>
      <w:bookmarkStart w:id="49" w:name="_DV_M18"/>
      <w:bookmarkEnd w:id="49"/>
      <w:r>
        <w:rPr>
          <w:lang w:val="en-CA" w:eastAsia="en-CA"/>
        </w:rPr>
        <w:t>ARTICLE 2.  Sponsor Obligations</w:t>
        <w:tab/>
      </w:r>
      <w:r>
        <w:rPr>
          <w:lang w:val="en-CA" w:eastAsia="en-CA"/>
        </w:rPr>
        <w:fldChar w:fldCharType="begin"/>
      </w:r>
      <w:r>
        <w:rPr>
          <w:lang w:val="en-CA" w:eastAsia="en-CA"/>
        </w:rPr>
        <w:instrText xml:space="preserve"> PAGEREF __RefHeading___Toc495746136 \h </w:instrText>
      </w:r>
      <w:r>
        <w:rPr>
          <w:lang w:val="en-CA" w:eastAsia="en-CA"/>
        </w:rPr>
        <w:fldChar w:fldCharType="separate"/>
      </w:r>
      <w:r>
        <w:rPr>
          <w:lang w:val="en-CA" w:eastAsia="en-CA"/>
        </w:rPr>
        <w:t>9</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0" w:name="_DV_M19"/>
      <w:bookmarkEnd w:id="50"/>
      <w:r>
        <w:rPr>
          <w:lang w:val="en-CA" w:eastAsia="en-CA"/>
        </w:rPr>
        <w:t>2.1</w:t>
      </w:r>
      <w:r>
        <w:rPr>
          <w:rFonts w:eastAsia="Times New Roman"/>
          <w:lang w:val="en-CA" w:eastAsia="en-CA"/>
        </w:rPr>
        <w:tab/>
      </w:r>
      <w:r>
        <w:rPr>
          <w:lang w:val="en-CA" w:eastAsia="en-CA"/>
        </w:rPr>
        <w:t>GasBol Cross-Guarantee.</w:t>
        <w:tab/>
      </w:r>
      <w:r>
        <w:rPr>
          <w:lang w:val="en-CA" w:eastAsia="en-CA"/>
        </w:rPr>
        <w:fldChar w:fldCharType="begin"/>
      </w:r>
      <w:r>
        <w:rPr>
          <w:lang w:val="en-CA" w:eastAsia="en-CA"/>
        </w:rPr>
        <w:instrText xml:space="preserve"> PAGEREF __RefHeading___Toc495746137 \h </w:instrText>
      </w:r>
      <w:r>
        <w:rPr>
          <w:lang w:val="en-CA" w:eastAsia="en-CA"/>
        </w:rPr>
        <w:fldChar w:fldCharType="separate"/>
      </w:r>
      <w:r>
        <w:rPr>
          <w:lang w:val="en-CA" w:eastAsia="en-CA"/>
        </w:rPr>
        <w:t>9</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1" w:name="_DV_M20"/>
      <w:bookmarkEnd w:id="51"/>
      <w:r>
        <w:rPr>
          <w:lang w:val="en-CA" w:eastAsia="en-CA"/>
        </w:rPr>
        <w:t>2.3</w:t>
      </w:r>
      <w:r>
        <w:rPr>
          <w:rFonts w:eastAsia="Times New Roman"/>
          <w:lang w:val="en-CA" w:eastAsia="en-CA"/>
        </w:rPr>
        <w:tab/>
      </w:r>
      <w:r>
        <w:rPr>
          <w:lang w:val="en-CA" w:eastAsia="en-CA"/>
        </w:rPr>
        <w:t>Obligations Absolute and Unconditional.</w:t>
        <w:tab/>
      </w:r>
      <w:r>
        <w:rPr>
          <w:lang w:val="en-CA" w:eastAsia="en-CA"/>
        </w:rPr>
        <w:fldChar w:fldCharType="begin"/>
      </w:r>
      <w:r>
        <w:rPr>
          <w:lang w:val="en-CA" w:eastAsia="en-CA"/>
        </w:rPr>
        <w:instrText xml:space="preserve"> PAGEREF __RefHeading___Toc495746138 \h </w:instrText>
      </w:r>
      <w:r>
        <w:rPr>
          <w:lang w:val="en-CA" w:eastAsia="en-CA"/>
        </w:rPr>
        <w:fldChar w:fldCharType="separate"/>
      </w:r>
      <w:r>
        <w:rPr>
          <w:lang w:val="en-CA" w:eastAsia="en-CA"/>
        </w:rPr>
        <w:t>17</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2" w:name="_DV_M21"/>
      <w:bookmarkEnd w:id="52"/>
      <w:r>
        <w:rPr>
          <w:lang w:val="en-CA" w:eastAsia="en-CA"/>
        </w:rPr>
        <w:t>2.4</w:t>
      </w:r>
      <w:r>
        <w:rPr>
          <w:rFonts w:eastAsia="Times New Roman"/>
          <w:lang w:val="en-CA" w:eastAsia="en-CA"/>
        </w:rPr>
        <w:tab/>
      </w:r>
      <w:r>
        <w:rPr>
          <w:lang w:val="en-CA" w:eastAsia="en-CA"/>
        </w:rPr>
        <w:t>Waivers.</w:t>
        <w:tab/>
      </w:r>
      <w:r>
        <w:rPr>
          <w:lang w:val="en-CA" w:eastAsia="en-CA"/>
        </w:rPr>
        <w:fldChar w:fldCharType="begin"/>
      </w:r>
      <w:r>
        <w:rPr>
          <w:lang w:val="en-CA" w:eastAsia="en-CA"/>
        </w:rPr>
        <w:instrText xml:space="preserve"> PAGEREF __RefHeading___Toc495746139 \h </w:instrText>
      </w:r>
      <w:r>
        <w:rPr>
          <w:lang w:val="en-CA" w:eastAsia="en-CA"/>
        </w:rPr>
        <w:fldChar w:fldCharType="separate"/>
      </w:r>
      <w:r>
        <w:rPr>
          <w:lang w:val="en-CA" w:eastAsia="en-CA"/>
        </w:rPr>
        <w:t>18</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3" w:name="_DV_M22"/>
      <w:bookmarkEnd w:id="53"/>
      <w:r>
        <w:rPr>
          <w:lang w:val="en-CA" w:eastAsia="en-CA"/>
        </w:rPr>
        <w:t>2.5</w:t>
      </w:r>
      <w:r>
        <w:rPr>
          <w:rFonts w:eastAsia="Times New Roman"/>
          <w:lang w:val="en-CA" w:eastAsia="en-CA"/>
        </w:rPr>
        <w:tab/>
      </w:r>
      <w:r>
        <w:rPr>
          <w:lang w:val="en-CA" w:eastAsia="en-CA"/>
        </w:rPr>
        <w:t>Instrument for the Payment of Money.</w:t>
        <w:tab/>
      </w:r>
      <w:r>
        <w:rPr>
          <w:lang w:val="en-CA" w:eastAsia="en-CA"/>
        </w:rPr>
        <w:fldChar w:fldCharType="begin"/>
      </w:r>
      <w:r>
        <w:rPr>
          <w:lang w:val="en-CA" w:eastAsia="en-CA"/>
        </w:rPr>
        <w:instrText xml:space="preserve"> PAGEREF __RefHeading___Toc495746140 \h </w:instrText>
      </w:r>
      <w:r>
        <w:rPr>
          <w:lang w:val="en-CA" w:eastAsia="en-CA"/>
        </w:rPr>
        <w:fldChar w:fldCharType="separate"/>
      </w:r>
      <w:r>
        <w:rPr>
          <w:lang w:val="en-CA" w:eastAsia="en-CA"/>
        </w:rPr>
        <w:t>20</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4" w:name="_DV_M23"/>
      <w:bookmarkEnd w:id="54"/>
      <w:r>
        <w:rPr>
          <w:lang w:val="en-CA" w:eastAsia="en-CA"/>
        </w:rPr>
        <w:t>2.6</w:t>
      </w:r>
      <w:r>
        <w:rPr>
          <w:rFonts w:eastAsia="Times New Roman"/>
          <w:lang w:val="en-CA" w:eastAsia="en-CA"/>
        </w:rPr>
        <w:tab/>
      </w:r>
      <w:r>
        <w:rPr>
          <w:lang w:val="en-CA" w:eastAsia="en-CA"/>
        </w:rPr>
        <w:t>Bankruptcy.</w:t>
        <w:tab/>
      </w:r>
      <w:r>
        <w:rPr>
          <w:lang w:val="en-CA" w:eastAsia="en-CA"/>
        </w:rPr>
        <w:fldChar w:fldCharType="begin"/>
      </w:r>
      <w:r>
        <w:rPr>
          <w:lang w:val="en-CA" w:eastAsia="en-CA"/>
        </w:rPr>
        <w:instrText xml:space="preserve"> PAGEREF __RefHeading___Toc495746141 \h </w:instrText>
      </w:r>
      <w:r>
        <w:rPr>
          <w:lang w:val="en-CA" w:eastAsia="en-CA"/>
        </w:rPr>
        <w:fldChar w:fldCharType="separate"/>
      </w:r>
      <w:r>
        <w:rPr>
          <w:lang w:val="en-CA" w:eastAsia="en-CA"/>
        </w:rPr>
        <w:t>20</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5" w:name="_DV_M24"/>
      <w:bookmarkEnd w:id="55"/>
      <w:r>
        <w:rPr>
          <w:lang w:val="en-CA" w:eastAsia="en-CA"/>
        </w:rPr>
        <w:t>2.7</w:t>
      </w:r>
      <w:r>
        <w:rPr>
          <w:rFonts w:eastAsia="Times New Roman"/>
          <w:lang w:val="en-CA" w:eastAsia="en-CA"/>
        </w:rPr>
        <w:tab/>
      </w:r>
      <w:r>
        <w:rPr>
          <w:lang w:val="en-CA" w:eastAsia="en-CA"/>
        </w:rPr>
        <w:t>Subrogation and Subordination.</w:t>
        <w:tab/>
      </w:r>
      <w:r>
        <w:rPr>
          <w:lang w:val="en-CA" w:eastAsia="en-CA"/>
        </w:rPr>
        <w:fldChar w:fldCharType="begin"/>
      </w:r>
      <w:r>
        <w:rPr>
          <w:lang w:val="en-CA" w:eastAsia="en-CA"/>
        </w:rPr>
        <w:instrText xml:space="preserve"> PAGEREF __RefHeading___Toc495746142 \h </w:instrText>
      </w:r>
      <w:r>
        <w:rPr>
          <w:lang w:val="en-CA" w:eastAsia="en-CA"/>
        </w:rPr>
        <w:fldChar w:fldCharType="separate"/>
      </w:r>
      <w:r>
        <w:rPr>
          <w:lang w:val="en-CA" w:eastAsia="en-CA"/>
        </w:rPr>
        <w:t>20</w:t>
      </w:r>
      <w:r>
        <w:rPr>
          <w:lang w:val="en-CA" w:eastAsia="en-CA"/>
        </w:rPr>
        <w:fldChar w:fldCharType="end"/>
      </w:r>
    </w:p>
    <w:p>
      <w:pPr>
        <w:pStyle w:val="TOC2"/>
        <w:numPr>
          <w:ilvl w:val="0"/>
          <w:numId w:val="21"/>
        </w:numPr>
        <w:ind w:hanging="0" w:start="0"/>
        <w:rPr>
          <w:rFonts w:eastAsia="Times New Roman"/>
          <w:caps w:val="false"/>
          <w:smallCaps w:val="false"/>
          <w:lang w:val="en-CA" w:eastAsia="en-CA"/>
        </w:rPr>
      </w:pPr>
      <w:bookmarkStart w:id="56" w:name="_DV_M25"/>
      <w:bookmarkEnd w:id="56"/>
      <w:r>
        <w:rPr>
          <w:lang w:val="en-CA" w:eastAsia="en-CA"/>
        </w:rPr>
        <w:t>ARTICLE 3.  Payments Free and Clear of Taxes, Etc.</w:t>
        <w:tab/>
      </w:r>
      <w:r>
        <w:rPr>
          <w:lang w:val="en-CA" w:eastAsia="en-CA"/>
        </w:rPr>
        <w:fldChar w:fldCharType="begin"/>
      </w:r>
      <w:r>
        <w:rPr>
          <w:lang w:val="en-CA" w:eastAsia="en-CA"/>
        </w:rPr>
        <w:instrText xml:space="preserve"> PAGEREF __RefHeading___Toc495746143 \h </w:instrText>
      </w:r>
      <w:r>
        <w:rPr>
          <w:lang w:val="en-CA" w:eastAsia="en-CA"/>
        </w:rPr>
        <w:fldChar w:fldCharType="separate"/>
      </w:r>
      <w:r>
        <w:rPr>
          <w:lang w:val="en-CA" w:eastAsia="en-CA"/>
        </w:rPr>
        <w:t>21</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7" w:name="_DV_M26"/>
      <w:bookmarkEnd w:id="57"/>
      <w:r>
        <w:rPr>
          <w:lang w:val="en-CA" w:eastAsia="en-CA"/>
        </w:rPr>
        <w:t>3.1</w:t>
      </w:r>
      <w:r>
        <w:rPr>
          <w:rFonts w:eastAsia="Times New Roman"/>
          <w:lang w:val="en-CA" w:eastAsia="en-CA"/>
        </w:rPr>
        <w:tab/>
      </w:r>
      <w:r>
        <w:rPr>
          <w:lang w:val="en-CA" w:eastAsia="en-CA"/>
        </w:rPr>
        <w:t>Payments Free and Clear of Taxes.</w:t>
        <w:tab/>
      </w:r>
      <w:r>
        <w:rPr>
          <w:lang w:val="en-CA" w:eastAsia="en-CA"/>
        </w:rPr>
        <w:fldChar w:fldCharType="begin"/>
      </w:r>
      <w:r>
        <w:rPr>
          <w:lang w:val="en-CA" w:eastAsia="en-CA"/>
        </w:rPr>
        <w:instrText xml:space="preserve"> PAGEREF __RefHeading___Toc495746144 \h </w:instrText>
      </w:r>
      <w:r>
        <w:rPr>
          <w:lang w:val="en-CA" w:eastAsia="en-CA"/>
        </w:rPr>
        <w:fldChar w:fldCharType="separate"/>
      </w:r>
      <w:r>
        <w:rPr>
          <w:lang w:val="en-CA" w:eastAsia="en-CA"/>
        </w:rPr>
        <w:t>21</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58" w:name="_DV_M27"/>
      <w:bookmarkEnd w:id="58"/>
      <w:r>
        <w:rPr>
          <w:lang w:val="en-CA" w:eastAsia="en-CA"/>
        </w:rPr>
        <w:t>3.2</w:t>
      </w:r>
      <w:r>
        <w:rPr>
          <w:rFonts w:eastAsia="Times New Roman"/>
          <w:lang w:val="en-CA" w:eastAsia="en-CA"/>
        </w:rPr>
        <w:tab/>
      </w:r>
      <w:r>
        <w:rPr>
          <w:lang w:val="en-CA" w:eastAsia="en-CA"/>
        </w:rPr>
        <w:t>Payment to Tax Authorities.</w:t>
        <w:tab/>
      </w:r>
      <w:r>
        <w:rPr>
          <w:lang w:val="en-CA" w:eastAsia="en-CA"/>
        </w:rPr>
        <w:fldChar w:fldCharType="begin"/>
      </w:r>
      <w:r>
        <w:rPr>
          <w:lang w:val="en-CA" w:eastAsia="en-CA"/>
        </w:rPr>
        <w:instrText xml:space="preserve"> PAGEREF __RefHeading___Toc495746145 \h </w:instrText>
      </w:r>
      <w:r>
        <w:rPr>
          <w:lang w:val="en-CA" w:eastAsia="en-CA"/>
        </w:rPr>
        <w:fldChar w:fldCharType="separate"/>
      </w:r>
      <w:r>
        <w:rPr>
          <w:lang w:val="en-CA" w:eastAsia="en-CA"/>
        </w:rPr>
        <w:t>21</w:t>
      </w:r>
      <w:r>
        <w:rPr>
          <w:lang w:val="en-CA" w:eastAsia="en-CA"/>
        </w:rPr>
        <w:fldChar w:fldCharType="end"/>
      </w:r>
    </w:p>
    <w:p>
      <w:pPr>
        <w:pStyle w:val="TOC2"/>
        <w:numPr>
          <w:ilvl w:val="0"/>
          <w:numId w:val="21"/>
        </w:numPr>
        <w:ind w:hanging="0" w:start="0"/>
        <w:rPr>
          <w:rFonts w:eastAsia="Times New Roman"/>
          <w:caps w:val="false"/>
          <w:smallCaps w:val="false"/>
          <w:lang w:val="en-CA" w:eastAsia="en-CA"/>
        </w:rPr>
      </w:pPr>
      <w:bookmarkStart w:id="59" w:name="_DV_M28"/>
      <w:bookmarkEnd w:id="59"/>
      <w:r>
        <w:rPr>
          <w:lang w:val="en-CA" w:eastAsia="en-CA"/>
        </w:rPr>
        <w:t>ARTICLE 4.  Representations and Warranties</w:t>
        <w:tab/>
      </w:r>
      <w:r>
        <w:rPr>
          <w:lang w:val="en-CA" w:eastAsia="en-CA"/>
        </w:rPr>
        <w:fldChar w:fldCharType="begin"/>
      </w:r>
      <w:r>
        <w:rPr>
          <w:lang w:val="en-CA" w:eastAsia="en-CA"/>
        </w:rPr>
        <w:instrText xml:space="preserve"> PAGEREF __RefHeading___Toc495746146 \h </w:instrText>
      </w:r>
      <w:r>
        <w:rPr>
          <w:lang w:val="en-CA" w:eastAsia="en-CA"/>
        </w:rPr>
        <w:fldChar w:fldCharType="separate"/>
      </w:r>
      <w:r>
        <w:rPr>
          <w:lang w:val="en-CA" w:eastAsia="en-CA"/>
        </w:rPr>
        <w:t>21</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60" w:name="_DV_M29"/>
      <w:bookmarkEnd w:id="60"/>
      <w:r>
        <w:rPr>
          <w:smallCaps/>
          <w:lang w:val="en-CA" w:eastAsia="en-CA"/>
        </w:rPr>
        <w:t>4.1</w:t>
      </w:r>
      <w:r>
        <w:rPr>
          <w:rFonts w:eastAsia="Times New Roman"/>
          <w:lang w:val="en-CA" w:eastAsia="en-CA"/>
        </w:rPr>
        <w:tab/>
      </w:r>
      <w:r>
        <w:rPr>
          <w:lang w:val="en-CA" w:eastAsia="en-CA"/>
        </w:rPr>
        <w:t>Representations of the Sponsors.</w:t>
        <w:tab/>
      </w:r>
      <w:r>
        <w:rPr>
          <w:lang w:val="en-CA" w:eastAsia="en-CA"/>
        </w:rPr>
        <w:fldChar w:fldCharType="begin"/>
      </w:r>
      <w:r>
        <w:rPr>
          <w:lang w:val="en-CA" w:eastAsia="en-CA"/>
        </w:rPr>
        <w:instrText xml:space="preserve"> PAGEREF __RefHeading___Toc495746147 \h </w:instrText>
      </w:r>
      <w:r>
        <w:rPr>
          <w:lang w:val="en-CA" w:eastAsia="en-CA"/>
        </w:rPr>
        <w:fldChar w:fldCharType="separate"/>
      </w:r>
      <w:r>
        <w:rPr>
          <w:lang w:val="en-CA" w:eastAsia="en-CA"/>
        </w:rPr>
        <w:t>21</w:t>
      </w:r>
      <w:r>
        <w:rPr>
          <w:lang w:val="en-CA" w:eastAsia="en-CA"/>
        </w:rPr>
        <w:fldChar w:fldCharType="end"/>
      </w:r>
    </w:p>
    <w:p>
      <w:pPr>
        <w:pStyle w:val="TOC2"/>
        <w:numPr>
          <w:ilvl w:val="0"/>
          <w:numId w:val="21"/>
        </w:numPr>
        <w:ind w:hanging="0" w:start="0"/>
        <w:rPr>
          <w:rFonts w:eastAsia="Times New Roman"/>
          <w:caps w:val="false"/>
          <w:smallCaps w:val="false"/>
          <w:lang w:val="en-CA" w:eastAsia="en-CA"/>
        </w:rPr>
      </w:pPr>
      <w:bookmarkStart w:id="61" w:name="_DV_M30"/>
      <w:bookmarkEnd w:id="61"/>
      <w:r>
        <w:rPr>
          <w:lang w:val="en-CA" w:eastAsia="en-CA"/>
        </w:rPr>
        <w:t>ARTICLE 5.   Covenants</w:t>
        <w:tab/>
      </w:r>
      <w:r>
        <w:rPr>
          <w:lang w:val="en-CA" w:eastAsia="en-CA"/>
        </w:rPr>
        <w:fldChar w:fldCharType="begin"/>
      </w:r>
      <w:r>
        <w:rPr>
          <w:lang w:val="en-CA" w:eastAsia="en-CA"/>
        </w:rPr>
        <w:instrText xml:space="preserve"> PAGEREF __RefHeading___Toc495746148 \h </w:instrText>
      </w:r>
      <w:r>
        <w:rPr>
          <w:lang w:val="en-CA" w:eastAsia="en-CA"/>
        </w:rPr>
        <w:fldChar w:fldCharType="separate"/>
      </w:r>
      <w:r>
        <w:rPr>
          <w:lang w:val="en-CA" w:eastAsia="en-CA"/>
        </w:rPr>
        <w:t>23</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62" w:name="_DV_M31"/>
      <w:bookmarkEnd w:id="62"/>
      <w:r>
        <w:rPr>
          <w:lang w:val="en-CA" w:eastAsia="en-CA"/>
        </w:rPr>
        <w:t>5.1</w:t>
      </w:r>
      <w:r>
        <w:rPr>
          <w:rFonts w:eastAsia="Times New Roman"/>
          <w:lang w:val="en-CA" w:eastAsia="en-CA"/>
        </w:rPr>
        <w:tab/>
      </w:r>
      <w:r>
        <w:rPr>
          <w:lang w:val="en-CA" w:eastAsia="en-CA"/>
        </w:rPr>
        <w:t>Covenants of the Sponsors.</w:t>
        <w:tab/>
      </w:r>
      <w:r>
        <w:rPr>
          <w:lang w:val="en-CA" w:eastAsia="en-CA"/>
        </w:rPr>
        <w:fldChar w:fldCharType="begin"/>
      </w:r>
      <w:r>
        <w:rPr>
          <w:lang w:val="en-CA" w:eastAsia="en-CA"/>
        </w:rPr>
        <w:instrText xml:space="preserve"> PAGEREF __RefHeading___Toc495746149 \h </w:instrText>
      </w:r>
      <w:r>
        <w:rPr>
          <w:lang w:val="en-CA" w:eastAsia="en-CA"/>
        </w:rPr>
        <w:fldChar w:fldCharType="separate"/>
      </w:r>
      <w:r>
        <w:rPr>
          <w:lang w:val="en-CA" w:eastAsia="en-CA"/>
        </w:rPr>
        <w:t>23</w:t>
      </w:r>
      <w:r>
        <w:rPr>
          <w:lang w:val="en-CA" w:eastAsia="en-CA"/>
        </w:rPr>
        <w:fldChar w:fldCharType="end"/>
      </w:r>
    </w:p>
    <w:p>
      <w:pPr>
        <w:pStyle w:val="TOC2"/>
        <w:numPr>
          <w:ilvl w:val="0"/>
          <w:numId w:val="21"/>
        </w:numPr>
        <w:ind w:hanging="0" w:start="0"/>
        <w:rPr>
          <w:rFonts w:eastAsia="Times New Roman"/>
          <w:caps w:val="false"/>
          <w:smallCaps w:val="false"/>
          <w:lang w:val="en-CA" w:eastAsia="en-CA"/>
        </w:rPr>
      </w:pPr>
      <w:bookmarkStart w:id="63" w:name="_DV_M32"/>
      <w:bookmarkEnd w:id="63"/>
      <w:r>
        <w:rPr>
          <w:lang w:val="en-CA" w:eastAsia="en-CA"/>
        </w:rPr>
        <w:t>ARTICLE 6.  PAYMENTS, ETC.</w:t>
        <w:tab/>
      </w:r>
      <w:r>
        <w:rPr>
          <w:lang w:val="en-CA" w:eastAsia="en-CA"/>
        </w:rPr>
        <w:fldChar w:fldCharType="begin"/>
      </w:r>
      <w:r>
        <w:rPr>
          <w:lang w:val="en-CA" w:eastAsia="en-CA"/>
        </w:rPr>
        <w:instrText xml:space="preserve"> PAGEREF __RefHeading___Toc495746150 \h </w:instrText>
      </w:r>
      <w:r>
        <w:rPr>
          <w:lang w:val="en-CA" w:eastAsia="en-CA"/>
        </w:rPr>
        <w:fldChar w:fldCharType="separate"/>
      </w:r>
      <w:r>
        <w:rPr>
          <w:lang w:val="en-CA" w:eastAsia="en-CA"/>
        </w:rPr>
        <w:t>23</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64" w:name="_DV_M33"/>
      <w:bookmarkEnd w:id="64"/>
      <w:r>
        <w:rPr>
          <w:lang w:val="en-CA" w:eastAsia="en-CA"/>
        </w:rPr>
        <w:t>6.2</w:t>
      </w:r>
      <w:r>
        <w:rPr>
          <w:rFonts w:eastAsia="Times New Roman"/>
          <w:lang w:val="en-CA" w:eastAsia="en-CA"/>
        </w:rPr>
        <w:tab/>
      </w:r>
      <w:r>
        <w:rPr>
          <w:lang w:val="en-CA" w:eastAsia="en-CA"/>
        </w:rPr>
        <w:t>Confirmations.</w:t>
        <w:tab/>
      </w:r>
      <w:r>
        <w:rPr>
          <w:lang w:val="en-CA" w:eastAsia="en-CA"/>
        </w:rPr>
        <w:fldChar w:fldCharType="begin"/>
      </w:r>
      <w:r>
        <w:rPr>
          <w:lang w:val="en-CA" w:eastAsia="en-CA"/>
        </w:rPr>
        <w:instrText xml:space="preserve"> PAGEREF __RefHeading___Toc495746151 \h </w:instrText>
      </w:r>
      <w:r>
        <w:rPr>
          <w:lang w:val="en-CA" w:eastAsia="en-CA"/>
        </w:rPr>
        <w:fldChar w:fldCharType="separate"/>
      </w:r>
      <w:r>
        <w:rPr>
          <w:lang w:val="en-CA" w:eastAsia="en-CA"/>
        </w:rPr>
        <w:t>23</w:t>
      </w:r>
      <w:r>
        <w:rPr>
          <w:lang w:val="en-CA" w:eastAsia="en-CA"/>
        </w:rPr>
        <w:fldChar w:fldCharType="end"/>
      </w:r>
    </w:p>
    <w:p>
      <w:pPr>
        <w:pStyle w:val="TOC2"/>
        <w:numPr>
          <w:ilvl w:val="0"/>
          <w:numId w:val="21"/>
        </w:numPr>
        <w:ind w:hanging="0" w:start="0"/>
        <w:rPr>
          <w:rFonts w:eastAsia="Times New Roman"/>
          <w:caps w:val="false"/>
          <w:smallCaps w:val="false"/>
          <w:lang w:val="en-CA" w:eastAsia="en-CA"/>
        </w:rPr>
      </w:pPr>
      <w:bookmarkStart w:id="65" w:name="_DV_M34"/>
      <w:bookmarkEnd w:id="65"/>
      <w:r>
        <w:rPr>
          <w:lang w:val="en-CA" w:eastAsia="en-CA"/>
        </w:rPr>
        <w:t>ARTICLE 7.  MISCELLANEOUS.</w:t>
        <w:tab/>
      </w:r>
      <w:r>
        <w:rPr>
          <w:lang w:val="en-CA" w:eastAsia="en-CA"/>
        </w:rPr>
        <w:fldChar w:fldCharType="begin"/>
      </w:r>
      <w:r>
        <w:rPr>
          <w:lang w:val="en-CA" w:eastAsia="en-CA"/>
        </w:rPr>
        <w:instrText xml:space="preserve"> PAGEREF __RefHeading___Toc495746152 \h </w:instrText>
      </w:r>
      <w:r>
        <w:rPr>
          <w:lang w:val="en-CA" w:eastAsia="en-CA"/>
        </w:rPr>
        <w:fldChar w:fldCharType="separate"/>
      </w:r>
      <w:r>
        <w:rPr>
          <w:lang w:val="en-CA" w:eastAsia="en-CA"/>
        </w:rPr>
        <w:t>24</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66" w:name="_DV_M35"/>
      <w:bookmarkEnd w:id="66"/>
      <w:r>
        <w:rPr>
          <w:lang w:val="en-CA" w:eastAsia="en-CA"/>
        </w:rPr>
        <w:t>7.1</w:t>
      </w:r>
      <w:r>
        <w:rPr>
          <w:rFonts w:eastAsia="Times New Roman"/>
          <w:lang w:val="en-CA" w:eastAsia="en-CA"/>
        </w:rPr>
        <w:tab/>
      </w:r>
      <w:r>
        <w:rPr>
          <w:lang w:val="en-CA" w:eastAsia="en-CA"/>
        </w:rPr>
        <w:t>No Waiver.</w:t>
        <w:tab/>
      </w:r>
      <w:r>
        <w:rPr>
          <w:lang w:val="en-CA" w:eastAsia="en-CA"/>
        </w:rPr>
        <w:fldChar w:fldCharType="begin"/>
      </w:r>
      <w:r>
        <w:rPr>
          <w:lang w:val="en-CA" w:eastAsia="en-CA"/>
        </w:rPr>
        <w:instrText xml:space="preserve"> PAGEREF __RefHeading___Toc495746153 \h </w:instrText>
      </w:r>
      <w:r>
        <w:rPr>
          <w:lang w:val="en-CA" w:eastAsia="en-CA"/>
        </w:rPr>
        <w:fldChar w:fldCharType="separate"/>
      </w:r>
      <w:r>
        <w:rPr>
          <w:lang w:val="en-CA" w:eastAsia="en-CA"/>
        </w:rPr>
        <w:t>24</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67" w:name="_DV_M36"/>
      <w:bookmarkEnd w:id="67"/>
      <w:r>
        <w:rPr>
          <w:lang w:val="en-CA" w:eastAsia="en-CA"/>
        </w:rPr>
        <w:t>7.2</w:t>
      </w:r>
      <w:r>
        <w:rPr>
          <w:rFonts w:eastAsia="Times New Roman"/>
          <w:lang w:val="en-CA" w:eastAsia="en-CA"/>
        </w:rPr>
        <w:tab/>
      </w:r>
      <w:r>
        <w:rPr>
          <w:lang w:val="en-CA" w:eastAsia="en-CA"/>
        </w:rPr>
        <w:t>Termination.</w:t>
        <w:tab/>
      </w:r>
      <w:r>
        <w:rPr>
          <w:lang w:val="en-CA" w:eastAsia="en-CA"/>
        </w:rPr>
        <w:fldChar w:fldCharType="begin"/>
      </w:r>
      <w:r>
        <w:rPr>
          <w:lang w:val="en-CA" w:eastAsia="en-CA"/>
        </w:rPr>
        <w:instrText xml:space="preserve"> PAGEREF __RefHeading___Toc495746154 \h </w:instrText>
      </w:r>
      <w:r>
        <w:rPr>
          <w:lang w:val="en-CA" w:eastAsia="en-CA"/>
        </w:rPr>
        <w:fldChar w:fldCharType="separate"/>
      </w:r>
      <w:r>
        <w:rPr>
          <w:lang w:val="en-CA" w:eastAsia="en-CA"/>
        </w:rPr>
        <w:t>24</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68" w:name="_DV_M37"/>
      <w:bookmarkEnd w:id="68"/>
      <w:r>
        <w:rPr>
          <w:lang w:val="en-CA" w:eastAsia="en-CA"/>
        </w:rPr>
        <w:t>7.3</w:t>
      </w:r>
      <w:r>
        <w:rPr>
          <w:rFonts w:eastAsia="Times New Roman"/>
          <w:lang w:val="en-CA" w:eastAsia="en-CA"/>
        </w:rPr>
        <w:tab/>
      </w:r>
      <w:r>
        <w:rPr>
          <w:lang w:val="en-CA" w:eastAsia="en-CA"/>
        </w:rPr>
        <w:t>Notices.</w:t>
        <w:tab/>
      </w:r>
      <w:r>
        <w:rPr>
          <w:lang w:val="en-CA" w:eastAsia="en-CA"/>
        </w:rPr>
        <w:fldChar w:fldCharType="begin"/>
      </w:r>
      <w:r>
        <w:rPr>
          <w:lang w:val="en-CA" w:eastAsia="en-CA"/>
        </w:rPr>
        <w:instrText xml:space="preserve"> PAGEREF __RefHeading___Toc495746155 \h </w:instrText>
      </w:r>
      <w:r>
        <w:rPr>
          <w:lang w:val="en-CA" w:eastAsia="en-CA"/>
        </w:rPr>
        <w:fldChar w:fldCharType="separate"/>
      </w:r>
      <w:r>
        <w:rPr>
          <w:lang w:val="en-CA" w:eastAsia="en-CA"/>
        </w:rPr>
        <w:t>26</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69" w:name="_DV_M38"/>
      <w:bookmarkEnd w:id="69"/>
      <w:r>
        <w:rPr>
          <w:lang w:val="en-CA" w:eastAsia="en-CA"/>
        </w:rPr>
        <w:t>7.4</w:t>
      </w:r>
      <w:r>
        <w:rPr>
          <w:rFonts w:eastAsia="Times New Roman"/>
          <w:lang w:val="en-CA" w:eastAsia="en-CA"/>
        </w:rPr>
        <w:tab/>
      </w:r>
      <w:r>
        <w:rPr>
          <w:lang w:val="en-CA" w:eastAsia="en-CA"/>
        </w:rPr>
        <w:t>Successors and Assigns.</w:t>
        <w:tab/>
      </w:r>
      <w:r>
        <w:rPr>
          <w:lang w:val="en-CA" w:eastAsia="en-CA"/>
        </w:rPr>
        <w:fldChar w:fldCharType="begin"/>
      </w:r>
      <w:r>
        <w:rPr>
          <w:lang w:val="en-CA" w:eastAsia="en-CA"/>
        </w:rPr>
        <w:instrText xml:space="preserve"> PAGEREF __RefHeading___Toc495746157 \h </w:instrText>
      </w:r>
      <w:r>
        <w:rPr>
          <w:lang w:val="en-CA" w:eastAsia="en-CA"/>
        </w:rPr>
        <w:fldChar w:fldCharType="separate"/>
      </w:r>
      <w:r>
        <w:rPr>
          <w:lang w:val="en-CA" w:eastAsia="en-CA"/>
        </w:rPr>
        <w:t>26</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0" w:name="_DV_M39"/>
      <w:bookmarkEnd w:id="70"/>
      <w:r>
        <w:rPr>
          <w:lang w:val="en-CA" w:eastAsia="en-CA"/>
        </w:rPr>
        <w:t>7.5</w:t>
      </w:r>
      <w:r>
        <w:rPr>
          <w:rFonts w:eastAsia="Times New Roman"/>
          <w:lang w:val="en-CA" w:eastAsia="en-CA"/>
        </w:rPr>
        <w:tab/>
      </w:r>
      <w:r>
        <w:rPr>
          <w:lang w:val="en-CA" w:eastAsia="en-CA"/>
        </w:rPr>
        <w:t>Amendments, Etc.</w:t>
        <w:tab/>
      </w:r>
      <w:r>
        <w:rPr>
          <w:lang w:val="en-CA" w:eastAsia="en-CA"/>
        </w:rPr>
        <w:fldChar w:fldCharType="begin"/>
      </w:r>
      <w:r>
        <w:rPr>
          <w:lang w:val="en-CA" w:eastAsia="en-CA"/>
        </w:rPr>
        <w:instrText xml:space="preserve"> PAGEREF __RefHeading___Toc495746158 \h </w:instrText>
      </w:r>
      <w:r>
        <w:rPr>
          <w:lang w:val="en-CA" w:eastAsia="en-CA"/>
        </w:rPr>
        <w:fldChar w:fldCharType="separate"/>
      </w:r>
      <w:r>
        <w:rPr>
          <w:lang w:val="en-CA" w:eastAsia="en-CA"/>
        </w:rPr>
        <w:t>26</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1" w:name="_DV_M40"/>
      <w:bookmarkEnd w:id="71"/>
      <w:r>
        <w:rPr>
          <w:lang w:val="en-CA" w:eastAsia="en-CA"/>
        </w:rPr>
        <w:t>7.6</w:t>
      </w:r>
      <w:r>
        <w:rPr>
          <w:rFonts w:eastAsia="Times New Roman"/>
          <w:lang w:val="en-CA" w:eastAsia="en-CA"/>
        </w:rPr>
        <w:tab/>
      </w:r>
      <w:r>
        <w:rPr>
          <w:lang w:val="en-CA" w:eastAsia="en-CA"/>
        </w:rPr>
        <w:t>Remedies.</w:t>
        <w:tab/>
      </w:r>
      <w:r>
        <w:rPr>
          <w:lang w:val="en-CA" w:eastAsia="en-CA"/>
        </w:rPr>
        <w:fldChar w:fldCharType="begin"/>
      </w:r>
      <w:r>
        <w:rPr>
          <w:lang w:val="en-CA" w:eastAsia="en-CA"/>
        </w:rPr>
        <w:instrText xml:space="preserve"> PAGEREF __RefHeading___Toc495746159 \h </w:instrText>
      </w:r>
      <w:r>
        <w:rPr>
          <w:lang w:val="en-CA" w:eastAsia="en-CA"/>
        </w:rPr>
        <w:fldChar w:fldCharType="separate"/>
      </w:r>
      <w:r>
        <w:rPr>
          <w:lang w:val="en-CA" w:eastAsia="en-CA"/>
        </w:rPr>
        <w:t>26</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2" w:name="_DV_M41"/>
      <w:bookmarkEnd w:id="72"/>
      <w:r>
        <w:rPr>
          <w:lang w:val="en-CA" w:eastAsia="en-CA"/>
        </w:rPr>
        <w:t>7.7</w:t>
      </w:r>
      <w:r>
        <w:rPr>
          <w:rFonts w:eastAsia="Times New Roman"/>
          <w:lang w:val="en-CA" w:eastAsia="en-CA"/>
        </w:rPr>
        <w:tab/>
      </w:r>
      <w:r>
        <w:rPr>
          <w:lang w:val="en-CA" w:eastAsia="en-CA"/>
        </w:rPr>
        <w:t>Headings.</w:t>
        <w:tab/>
      </w:r>
      <w:r>
        <w:rPr>
          <w:lang w:val="en-CA" w:eastAsia="en-CA"/>
        </w:rPr>
        <w:fldChar w:fldCharType="begin"/>
      </w:r>
      <w:r>
        <w:rPr>
          <w:lang w:val="en-CA" w:eastAsia="en-CA"/>
        </w:rPr>
        <w:instrText xml:space="preserve"> PAGEREF __RefHeading___Toc495746160 \h </w:instrText>
      </w:r>
      <w:r>
        <w:rPr>
          <w:lang w:val="en-CA" w:eastAsia="en-CA"/>
        </w:rPr>
        <w:fldChar w:fldCharType="separate"/>
      </w:r>
      <w:r>
        <w:rPr>
          <w:lang w:val="en-CA" w:eastAsia="en-CA"/>
        </w:rPr>
        <w:t>27</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3" w:name="_DV_M42"/>
      <w:bookmarkEnd w:id="73"/>
      <w:r>
        <w:rPr>
          <w:lang w:val="en-CA" w:eastAsia="en-CA"/>
        </w:rPr>
        <w:t>7.8</w:t>
      </w:r>
      <w:r>
        <w:rPr>
          <w:rFonts w:eastAsia="Times New Roman"/>
          <w:lang w:val="en-CA" w:eastAsia="en-CA"/>
        </w:rPr>
        <w:tab/>
      </w:r>
      <w:r>
        <w:rPr>
          <w:lang w:val="en-CA" w:eastAsia="en-CA"/>
        </w:rPr>
        <w:t>Governing Law.</w:t>
        <w:tab/>
      </w:r>
      <w:r>
        <w:rPr>
          <w:lang w:val="en-CA" w:eastAsia="en-CA"/>
        </w:rPr>
        <w:fldChar w:fldCharType="begin"/>
      </w:r>
      <w:r>
        <w:rPr>
          <w:lang w:val="en-CA" w:eastAsia="en-CA"/>
        </w:rPr>
        <w:instrText xml:space="preserve"> PAGEREF __RefHeading___Toc495746161 \h </w:instrText>
      </w:r>
      <w:r>
        <w:rPr>
          <w:lang w:val="en-CA" w:eastAsia="en-CA"/>
        </w:rPr>
        <w:fldChar w:fldCharType="separate"/>
      </w:r>
      <w:r>
        <w:rPr>
          <w:lang w:val="en-CA" w:eastAsia="en-CA"/>
        </w:rPr>
        <w:t>27</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4" w:name="_DV_M43"/>
      <w:bookmarkEnd w:id="74"/>
      <w:r>
        <w:rPr>
          <w:lang w:val="en-CA" w:eastAsia="en-CA"/>
        </w:rPr>
        <w:t>7.9</w:t>
      </w:r>
      <w:r>
        <w:rPr>
          <w:rFonts w:eastAsia="Times New Roman"/>
          <w:lang w:val="en-CA" w:eastAsia="en-CA"/>
        </w:rPr>
        <w:tab/>
      </w:r>
      <w:r>
        <w:rPr>
          <w:lang w:val="en-CA" w:eastAsia="en-CA"/>
        </w:rPr>
        <w:t>Consent to Jurisdiction.</w:t>
        <w:tab/>
      </w:r>
      <w:r>
        <w:rPr>
          <w:lang w:val="en-CA" w:eastAsia="en-CA"/>
        </w:rPr>
        <w:fldChar w:fldCharType="begin"/>
      </w:r>
      <w:r>
        <w:rPr>
          <w:lang w:val="en-CA" w:eastAsia="en-CA"/>
        </w:rPr>
        <w:instrText xml:space="preserve"> PAGEREF __RefHeading___Toc495746162 \h </w:instrText>
      </w:r>
      <w:r>
        <w:rPr>
          <w:lang w:val="en-CA" w:eastAsia="en-CA"/>
        </w:rPr>
        <w:fldChar w:fldCharType="separate"/>
      </w:r>
      <w:r>
        <w:rPr>
          <w:lang w:val="en-CA" w:eastAsia="en-CA"/>
        </w:rPr>
        <w:t>27</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5" w:name="_DV_M44"/>
      <w:bookmarkEnd w:id="75"/>
      <w:r>
        <w:rPr>
          <w:lang w:val="en-CA" w:eastAsia="en-CA"/>
        </w:rPr>
        <w:t>7.10</w:t>
      </w:r>
      <w:r>
        <w:rPr>
          <w:rFonts w:eastAsia="Times New Roman"/>
          <w:lang w:val="en-CA" w:eastAsia="en-CA"/>
        </w:rPr>
        <w:tab/>
      </w:r>
      <w:r>
        <w:rPr>
          <w:lang w:val="en-CA" w:eastAsia="en-CA"/>
        </w:rPr>
        <w:t>Appointment Of Process Agent.</w:t>
        <w:tab/>
      </w:r>
      <w:r>
        <w:rPr>
          <w:lang w:val="en-CA" w:eastAsia="en-CA"/>
        </w:rPr>
        <w:fldChar w:fldCharType="begin"/>
      </w:r>
      <w:r>
        <w:rPr>
          <w:lang w:val="en-CA" w:eastAsia="en-CA"/>
        </w:rPr>
        <w:instrText xml:space="preserve"> PAGEREF __RefHeading___Toc495746163 \h </w:instrText>
      </w:r>
      <w:r>
        <w:rPr>
          <w:lang w:val="en-CA" w:eastAsia="en-CA"/>
        </w:rPr>
        <w:fldChar w:fldCharType="separate"/>
      </w:r>
      <w:r>
        <w:rPr>
          <w:lang w:val="en-CA" w:eastAsia="en-CA"/>
        </w:rPr>
        <w:t>27</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6" w:name="_DV_M45"/>
      <w:bookmarkEnd w:id="76"/>
      <w:r>
        <w:rPr>
          <w:lang w:val="en-CA" w:eastAsia="en-CA"/>
        </w:rPr>
        <w:t>7.12</w:t>
      </w:r>
      <w:r>
        <w:rPr>
          <w:rFonts w:eastAsia="Times New Roman"/>
          <w:lang w:val="en-CA" w:eastAsia="en-CA"/>
        </w:rPr>
        <w:tab/>
      </w:r>
      <w:r>
        <w:rPr>
          <w:lang w:val="en-CA" w:eastAsia="en-CA"/>
        </w:rPr>
        <w:t>Counterparts.</w:t>
        <w:tab/>
      </w:r>
      <w:r>
        <w:rPr>
          <w:lang w:val="en-CA" w:eastAsia="en-CA"/>
        </w:rPr>
        <w:fldChar w:fldCharType="begin"/>
      </w:r>
      <w:r>
        <w:rPr>
          <w:lang w:val="en-CA" w:eastAsia="en-CA"/>
        </w:rPr>
        <w:instrText xml:space="preserve"> PAGEREF __RefHeading___Toc495746164 \h </w:instrText>
      </w:r>
      <w:r>
        <w:rPr>
          <w:lang w:val="en-CA" w:eastAsia="en-CA"/>
        </w:rPr>
        <w:fldChar w:fldCharType="separate"/>
      </w:r>
      <w:r>
        <w:rPr>
          <w:lang w:val="en-CA" w:eastAsia="en-CA"/>
        </w:rPr>
        <w:t>28</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7" w:name="_DV_M46"/>
      <w:bookmarkEnd w:id="77"/>
      <w:r>
        <w:rPr>
          <w:lang w:val="en-CA" w:eastAsia="en-CA"/>
        </w:rPr>
        <w:t>7.13</w:t>
      </w:r>
      <w:r>
        <w:rPr>
          <w:rFonts w:eastAsia="Times New Roman"/>
          <w:lang w:val="en-CA" w:eastAsia="en-CA"/>
        </w:rPr>
        <w:tab/>
      </w:r>
      <w:r>
        <w:rPr>
          <w:lang w:val="en-CA" w:eastAsia="en-CA"/>
        </w:rPr>
        <w:t>Severability.</w:t>
        <w:tab/>
      </w:r>
      <w:r>
        <w:rPr>
          <w:lang w:val="en-CA" w:eastAsia="en-CA"/>
        </w:rPr>
        <w:fldChar w:fldCharType="begin"/>
      </w:r>
      <w:r>
        <w:rPr>
          <w:lang w:val="en-CA" w:eastAsia="en-CA"/>
        </w:rPr>
        <w:instrText xml:space="preserve"> PAGEREF __RefHeading___Toc495746165 \h </w:instrText>
      </w:r>
      <w:r>
        <w:rPr>
          <w:lang w:val="en-CA" w:eastAsia="en-CA"/>
        </w:rPr>
        <w:fldChar w:fldCharType="separate"/>
      </w:r>
      <w:r>
        <w:rPr>
          <w:lang w:val="en-CA" w:eastAsia="en-CA"/>
        </w:rPr>
        <w:t>28</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8" w:name="_DV_M47"/>
      <w:bookmarkEnd w:id="78"/>
      <w:r>
        <w:rPr>
          <w:lang w:val="en-CA" w:eastAsia="en-CA"/>
        </w:rPr>
        <w:t>7.14</w:t>
      </w:r>
      <w:r>
        <w:rPr>
          <w:rFonts w:eastAsia="Times New Roman"/>
          <w:lang w:val="en-CA" w:eastAsia="en-CA"/>
        </w:rPr>
        <w:tab/>
      </w:r>
      <w:r>
        <w:rPr>
          <w:lang w:val="en-CA" w:eastAsia="en-CA"/>
        </w:rPr>
        <w:t>Waiver of Jury Trial.</w:t>
        <w:tab/>
      </w:r>
      <w:r>
        <w:rPr>
          <w:lang w:val="en-CA" w:eastAsia="en-CA"/>
        </w:rPr>
        <w:fldChar w:fldCharType="begin"/>
      </w:r>
      <w:r>
        <w:rPr>
          <w:lang w:val="en-CA" w:eastAsia="en-CA"/>
        </w:rPr>
        <w:instrText xml:space="preserve"> PAGEREF __RefHeading___Toc495746166 \h </w:instrText>
      </w:r>
      <w:r>
        <w:rPr>
          <w:lang w:val="en-CA" w:eastAsia="en-CA"/>
        </w:rPr>
        <w:fldChar w:fldCharType="separate"/>
      </w:r>
      <w:r>
        <w:rPr>
          <w:lang w:val="en-CA" w:eastAsia="en-CA"/>
        </w:rPr>
        <w:t>28</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79" w:name="_DV_M48"/>
      <w:bookmarkEnd w:id="79"/>
      <w:r>
        <w:rPr>
          <w:lang w:val="en-CA" w:eastAsia="en-CA"/>
        </w:rPr>
        <w:t>7.15</w:t>
      </w:r>
      <w:r>
        <w:rPr>
          <w:rFonts w:eastAsia="Times New Roman"/>
          <w:lang w:val="en-CA" w:eastAsia="en-CA"/>
        </w:rPr>
        <w:tab/>
      </w:r>
      <w:r>
        <w:rPr>
          <w:lang w:val="en-CA" w:eastAsia="en-CA"/>
        </w:rPr>
        <w:t>Agents.</w:t>
        <w:tab/>
      </w:r>
      <w:r>
        <w:rPr>
          <w:lang w:val="en-CA" w:eastAsia="en-CA"/>
        </w:rPr>
        <w:fldChar w:fldCharType="begin"/>
      </w:r>
      <w:r>
        <w:rPr>
          <w:lang w:val="en-CA" w:eastAsia="en-CA"/>
        </w:rPr>
        <w:instrText xml:space="preserve"> PAGEREF __RefHeading___Toc495746167 \h </w:instrText>
      </w:r>
      <w:r>
        <w:rPr>
          <w:lang w:val="en-CA" w:eastAsia="en-CA"/>
        </w:rPr>
        <w:fldChar w:fldCharType="separate"/>
      </w:r>
      <w:r>
        <w:rPr>
          <w:lang w:val="en-CA" w:eastAsia="en-CA"/>
        </w:rPr>
        <w:t>28</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80" w:name="_DV_M49"/>
      <w:bookmarkEnd w:id="80"/>
      <w:r>
        <w:rPr>
          <w:lang w:val="en-CA" w:eastAsia="en-CA"/>
        </w:rPr>
        <w:t>7.16</w:t>
      </w:r>
      <w:r>
        <w:rPr>
          <w:rFonts w:eastAsia="Times New Roman"/>
          <w:lang w:val="en-CA" w:eastAsia="en-CA"/>
        </w:rPr>
        <w:tab/>
      </w:r>
      <w:r>
        <w:rPr>
          <w:lang w:val="en-CA" w:eastAsia="en-CA"/>
        </w:rPr>
        <w:t>Entire Agreement.</w:t>
        <w:tab/>
      </w:r>
      <w:r>
        <w:rPr>
          <w:lang w:val="en-CA" w:eastAsia="en-CA"/>
        </w:rPr>
        <w:fldChar w:fldCharType="begin"/>
      </w:r>
      <w:r>
        <w:rPr>
          <w:lang w:val="en-CA" w:eastAsia="en-CA"/>
        </w:rPr>
        <w:instrText xml:space="preserve"> PAGEREF __RefHeading___Toc495746168 \h </w:instrText>
      </w:r>
      <w:r>
        <w:rPr>
          <w:lang w:val="en-CA" w:eastAsia="en-CA"/>
        </w:rPr>
        <w:fldChar w:fldCharType="separate"/>
      </w:r>
      <w:r>
        <w:rPr>
          <w:lang w:val="en-CA" w:eastAsia="en-CA"/>
        </w:rPr>
        <w:t>29</w:t>
      </w:r>
      <w:r>
        <w:rPr>
          <w:lang w:val="en-CA" w:eastAsia="en-CA"/>
        </w:rPr>
        <w:fldChar w:fldCharType="end"/>
      </w:r>
    </w:p>
    <w:p>
      <w:pPr>
        <w:pStyle w:val="TOC3"/>
        <w:tabs>
          <w:tab w:val="left" w:pos="1440" w:leader="none"/>
          <w:tab w:val="right" w:pos="8309" w:leader="dot"/>
        </w:tabs>
        <w:rPr>
          <w:rFonts w:eastAsia="Times New Roman"/>
          <w:lang w:val="en-CA" w:eastAsia="en-CA"/>
        </w:rPr>
      </w:pPr>
      <w:bookmarkStart w:id="81" w:name="_DV_M50"/>
      <w:bookmarkEnd w:id="81"/>
      <w:r>
        <w:rPr>
          <w:lang w:val="en-CA" w:eastAsia="en-CA"/>
        </w:rPr>
        <w:t>7.17</w:t>
      </w:r>
      <w:r>
        <w:rPr>
          <w:rFonts w:eastAsia="Times New Roman"/>
          <w:lang w:val="en-CA" w:eastAsia="en-CA"/>
        </w:rPr>
        <w:tab/>
      </w:r>
      <w:r>
        <w:rPr>
          <w:lang w:val="en-CA" w:eastAsia="en-CA"/>
        </w:rPr>
        <w:t>THIRD PARTY BENEFICIARIES.</w:t>
        <w:tab/>
      </w:r>
      <w:r>
        <w:rPr>
          <w:lang w:val="en-CA" w:eastAsia="en-CA"/>
        </w:rPr>
        <w:fldChar w:fldCharType="begin"/>
      </w:r>
      <w:r>
        <w:rPr>
          <w:lang w:val="en-CA" w:eastAsia="en-CA"/>
        </w:rPr>
        <w:instrText xml:space="preserve"> PAGEREF __RefHeading___Toc495746169 \h </w:instrText>
      </w:r>
      <w:r>
        <w:rPr>
          <w:lang w:val="en-CA" w:eastAsia="en-CA"/>
        </w:rPr>
        <w:fldChar w:fldCharType="separate"/>
      </w:r>
      <w:r>
        <w:rPr>
          <w:lang w:val="en-CA" w:eastAsia="en-CA"/>
        </w:rPr>
        <w:t>29</w:t>
      </w:r>
      <w:r>
        <w:rPr>
          <w:lang w:val="en-CA" w:eastAsia="en-CA"/>
        </w:rPr>
        <w:fldChar w:fldCharType="end"/>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indexhead2"/>
        <w:tabs>
          <w:tab w:val="clear" w:pos="8301"/>
          <w:tab w:val="right" w:pos="9180" w:leader="dot"/>
        </w:tabs>
        <w:rPr>
          <w:rFonts w:eastAsia="Times New Roman"/>
          <w:lang w:val="en-CA" w:eastAsia="en-CA"/>
        </w:rPr>
      </w:pPr>
      <w:r>
        <w:rPr>
          <w:rFonts w:eastAsia="Times New Roman"/>
          <w:lang w:val="en-CA" w:eastAsia="en-CA"/>
        </w:rPr>
      </w:r>
    </w:p>
    <w:p>
      <w:pPr>
        <w:pStyle w:val="BodyText"/>
        <w:rPr/>
      </w:pPr>
      <w:bookmarkStart w:id="82" w:name="_DV_M51"/>
      <w:bookmarkEnd w:id="82"/>
      <w:r>
        <w:rPr>
          <w:b/>
          <w:bCs/>
        </w:rPr>
        <w:t>CENTRAL BANK AGREEMENT</w:t>
      </w:r>
      <w:r>
        <w:rPr/>
        <w:t xml:space="preserve"> (the </w:t>
      </w:r>
      <w:r>
        <w:rPr>
          <w:b/>
          <w:bCs/>
          <w:i/>
          <w:iCs/>
        </w:rPr>
        <w:t>Agreement</w:t>
      </w:r>
      <w:r>
        <w:rPr/>
        <w:t xml:space="preserve">) dated as of  ________ __, 200_ </w:t>
      </w:r>
    </w:p>
    <w:p>
      <w:pPr>
        <w:pStyle w:val="BodyText"/>
        <w:rPr/>
      </w:pPr>
      <w:bookmarkStart w:id="83" w:name="_DV_M52"/>
      <w:bookmarkEnd w:id="83"/>
      <w:r>
        <w:rPr>
          <w:b/>
          <w:bCs/>
          <w:smallCaps/>
        </w:rPr>
        <w:t>Among</w:t>
      </w:r>
      <w:r>
        <w:rPr/>
        <w:t xml:space="preserve"> </w:t>
      </w:r>
      <w:r>
        <w:rPr>
          <w:caps/>
        </w:rPr>
        <w:t>SHELL OVERSEAS TRADING LIMITED</w:t>
      </w:r>
      <w:r>
        <w:rPr/>
        <w:t>, a company organized and existing under the laws of Bermuda (</w:t>
      </w:r>
      <w:r>
        <w:rPr>
          <w:b/>
          <w:bCs/>
          <w:i/>
          <w:iCs/>
        </w:rPr>
        <w:t>SOTL</w:t>
      </w:r>
      <w:r>
        <w:rPr/>
        <w:t>), ENRON CORP., a corporation organized under the laws of the State of Oregon (</w:t>
      </w:r>
      <w:r>
        <w:rPr>
          <w:b/>
          <w:bCs/>
          <w:i/>
          <w:iCs/>
        </w:rPr>
        <w:t>Enron Corp.</w:t>
      </w:r>
      <w:r>
        <w:rPr/>
        <w:t xml:space="preserve">, and, together with SOTL, the </w:t>
      </w:r>
      <w:r>
        <w:rPr>
          <w:b/>
          <w:bCs/>
          <w:i/>
          <w:iCs/>
        </w:rPr>
        <w:t>Sponsors</w:t>
      </w:r>
      <w:r>
        <w:rPr/>
        <w:t xml:space="preserve">), </w:t>
      </w:r>
      <w:r>
        <w:rPr>
          <w:smallCaps/>
        </w:rPr>
        <w:t>EPE-</w:t>
      </w:r>
      <w:r>
        <w:rPr/>
        <w:t xml:space="preserve">EMPRESA PRODUTORA DE ENERGIA LTDA., a </w:t>
      </w:r>
      <w:r>
        <w:rPr>
          <w:i/>
          <w:iCs/>
        </w:rPr>
        <w:t>sociedade por quotas de responsabilidade limitada</w:t>
      </w:r>
      <w:r>
        <w:rPr/>
        <w:t xml:space="preserve"> organized and existing under the laws of the Federative Republic of Brazil (</w:t>
      </w:r>
      <w:r>
        <w:rPr>
          <w:b/>
          <w:bCs/>
          <w:i/>
          <w:iCs/>
        </w:rPr>
        <w:t>EPE</w:t>
      </w:r>
      <w:r>
        <w:rPr/>
        <w:t xml:space="preserve">), GASORIENTE BOLIVIANO LTDA., a </w:t>
      </w:r>
      <w:r>
        <w:rPr>
          <w:i/>
          <w:iCs/>
        </w:rPr>
        <w:t>sociedad por quotas de responsabilidad limitada</w:t>
      </w:r>
      <w:r>
        <w:rPr/>
        <w:t xml:space="preserve"> organized and existing under the laws of the Republic of Bolivia (</w:t>
      </w:r>
      <w:r>
        <w:rPr>
          <w:b/>
          <w:bCs/>
          <w:i/>
          <w:iCs/>
        </w:rPr>
        <w:t>GasBol</w:t>
      </w:r>
      <w:r>
        <w:rPr/>
        <w:t xml:space="preserve">), GASOCIDENTE DO MATO GROSSO LTDA., a </w:t>
      </w:r>
      <w:r>
        <w:rPr>
          <w:i/>
          <w:iCs/>
        </w:rPr>
        <w:t>sociedade de responsabilidade limitada</w:t>
      </w:r>
      <w:r>
        <w:rPr/>
        <w:t xml:space="preserve"> organized and existing under the laws of the Federative Republic of Brazil (</w:t>
      </w:r>
      <w:r>
        <w:rPr>
          <w:b/>
          <w:bCs/>
          <w:i/>
          <w:iCs/>
        </w:rPr>
        <w:t>GasMat</w:t>
      </w:r>
      <w:r>
        <w:rPr/>
        <w:t xml:space="preserve"> and, together with EPE, the </w:t>
      </w:r>
      <w:r>
        <w:rPr>
          <w:b/>
          <w:bCs/>
          <w:i/>
          <w:iCs/>
        </w:rPr>
        <w:t>Brazilian Borrowers</w:t>
      </w:r>
      <w:r>
        <w:rPr/>
        <w:t xml:space="preserve">, and together with GasBol, the </w:t>
      </w:r>
      <w:r>
        <w:rPr>
          <w:b/>
          <w:bCs/>
          <w:i/>
          <w:iCs/>
        </w:rPr>
        <w:t>Borrowers</w:t>
      </w:r>
      <w:r>
        <w:rPr/>
        <w:t>), OVERSEAS PRIVATE INVESTMENT CORPORATION, an agency of the United States of America (</w:t>
      </w:r>
      <w:r>
        <w:rPr>
          <w:b/>
          <w:bCs/>
          <w:i/>
          <w:iCs/>
        </w:rPr>
        <w:t>OPIC</w:t>
      </w:r>
      <w:r>
        <w:rPr/>
        <w:t>), KREDITANSTALT F</w:t>
      </w:r>
      <w:r>
        <w:rPr>
          <w:rFonts w:eastAsia="Times New Roman"/>
        </w:rPr>
        <w:t>Ü</w:t>
      </w:r>
      <w:r>
        <w:rPr/>
        <w:t>R WIEDERAUFBAU, a public corporation organized and existing under the laws of the Federal Republic of Germany (</w:t>
      </w:r>
      <w:r>
        <w:rPr>
          <w:b/>
          <w:bCs/>
          <w:i/>
          <w:iCs/>
        </w:rPr>
        <w:t>KfW</w:t>
      </w:r>
      <w:r>
        <w:rPr/>
        <w:t>,</w:t>
      </w:r>
      <w:r>
        <w:rPr>
          <w:b/>
          <w:bCs/>
          <w:i/>
          <w:iCs/>
        </w:rPr>
        <w:t xml:space="preserve"> </w:t>
      </w:r>
      <w:r>
        <w:rPr/>
        <w:t xml:space="preserve">and, together with OPIC, the </w:t>
      </w:r>
      <w:r>
        <w:rPr>
          <w:b/>
          <w:bCs/>
          <w:i/>
          <w:iCs/>
        </w:rPr>
        <w:t>Lenders</w:t>
      </w:r>
      <w:r>
        <w:rPr/>
        <w:t>)</w:t>
      </w:r>
      <w:r>
        <w:rPr>
          <w:b/>
          <w:bCs/>
        </w:rPr>
        <w:t xml:space="preserve"> </w:t>
      </w:r>
      <w:r>
        <w:rPr/>
        <w:t xml:space="preserve">and CITIBANK, N.A., a national banking association incorporated under the laws of the United States of America, as the Common Agent (the </w:t>
      </w:r>
      <w:r>
        <w:rPr>
          <w:b/>
          <w:bCs/>
          <w:i/>
          <w:iCs/>
        </w:rPr>
        <w:t>Common Agent</w:t>
      </w:r>
      <w:r>
        <w:rPr/>
        <w:t>).</w:t>
      </w:r>
    </w:p>
    <w:p>
      <w:pPr>
        <w:pStyle w:val="BodyText"/>
        <w:rPr/>
      </w:pPr>
      <w:bookmarkStart w:id="84" w:name="_DV_M53"/>
      <w:bookmarkEnd w:id="84"/>
      <w:r>
        <w:rPr>
          <w:b/>
          <w:bCs/>
        </w:rPr>
        <w:t xml:space="preserve">WHEREAS, </w:t>
      </w:r>
      <w:r>
        <w:rPr/>
        <w:t xml:space="preserve">the Borrowers, OPIC, KfW, Banco Citibank S.A., a banking institution organized and existing under the laws of the Federative Republic of Brazil, as the Brazilian Collateral Agent, Citibank, N.A., a banking institution organized and existing under the laws of the Republic of Bolivia, as the Bolivian Collateral Agent, and the Common Agent are parties to a Common Terms Agreement dated as of September 30, 1999, and as amended by Amendment No. 1 to Common Terms Agreement, dated as of July 21, 2000, and Amendment No. 2 to Common Terms Agreement, dated as of the date hereof (collectively, as further modified and supplemented and as in effect from time to time, the </w:t>
      </w:r>
      <w:r>
        <w:rPr>
          <w:b/>
          <w:bCs/>
          <w:i/>
          <w:iCs/>
        </w:rPr>
        <w:t>Common Agreement</w:t>
      </w:r>
      <w:r>
        <w:rPr/>
        <w:t xml:space="preserve">), and the Borrowers and the Lenders are party to the Loan Agreements (as defined in the Common Agreement) providing, subject to the terms and conditions thereof, for extensions of credit (by making of loans) by the Lenders to the Borrowers in an aggregate principal amount not exceeding $365,000,000.  </w:t>
      </w:r>
    </w:p>
    <w:p>
      <w:pPr>
        <w:pStyle w:val="BodyText"/>
        <w:rPr/>
      </w:pPr>
      <w:bookmarkStart w:id="85" w:name="_DV_M54"/>
      <w:bookmarkEnd w:id="85"/>
      <w:r>
        <w:rPr>
          <w:b/>
          <w:bCs/>
        </w:rPr>
        <w:t>WHEREAS</w:t>
      </w:r>
      <w:r>
        <w:rPr/>
        <w:t>, pursuant to the Common Agreement, the Common Agent has been appointed to act as agent and representative for the Secured Parties in connection with the Collateral (as such terms are defined in the Common Agreement).</w:t>
      </w:r>
    </w:p>
    <w:p>
      <w:pPr>
        <w:pStyle w:val="BodyText"/>
        <w:rPr/>
      </w:pPr>
      <w:bookmarkStart w:id="86" w:name="_DV_M55"/>
      <w:bookmarkEnd w:id="86"/>
      <w:r>
        <w:rPr>
          <w:b/>
          <w:bCs/>
        </w:rPr>
        <w:t>WHEREAS</w:t>
      </w:r>
      <w:r>
        <w:rPr/>
        <w:t xml:space="preserve">, to induce the Lenders to enter into the Loan Agreements and the Common Agreement and to extend credit thereunder, and for other good and valuable consideration, the receipt and sufficiency of which are hereby acknowledged, the Sponsors and the Borrowers have agreed to enter into this Agreement. </w:t>
      </w:r>
    </w:p>
    <w:p>
      <w:pPr>
        <w:pStyle w:val="BodyText"/>
        <w:rPr/>
      </w:pPr>
      <w:bookmarkStart w:id="87" w:name="_DV_M56"/>
      <w:bookmarkEnd w:id="87"/>
      <w:r>
        <w:rPr>
          <w:b/>
          <w:bCs/>
        </w:rPr>
        <w:t>NOW, THEREFORE</w:t>
      </w:r>
      <w:r>
        <w:rPr/>
        <w:t>, the parties hereto agree as follows:</w:t>
      </w:r>
    </w:p>
    <w:p>
      <w:pPr>
        <w:pStyle w:val="Heading2"/>
        <w:ind w:hanging="0" w:start="0"/>
        <w:rPr>
          <w:lang w:val="fr-FR"/>
        </w:rPr>
      </w:pPr>
      <w:bookmarkStart w:id="88" w:name="__RefHeading___Toc495746133"/>
      <w:bookmarkStart w:id="89" w:name="_DV_M57"/>
      <w:bookmarkEnd w:id="88"/>
      <w:bookmarkEnd w:id="89"/>
      <w:r>
        <w:rPr>
          <w:lang w:val="fr-FR"/>
        </w:rPr>
        <w:t>ARTICLE 1.  Definitions; Interpretation</w:t>
      </w:r>
    </w:p>
    <w:p>
      <w:pPr>
        <w:pStyle w:val="Heading3"/>
        <w:ind w:hanging="0" w:start="0"/>
        <w:rPr>
          <w:lang w:val="fr-FR"/>
        </w:rPr>
      </w:pPr>
      <w:bookmarkStart w:id="90" w:name="__RefHeading___Toc495746134"/>
      <w:bookmarkStart w:id="91" w:name="_DV_M58"/>
      <w:bookmarkEnd w:id="90"/>
      <w:bookmarkEnd w:id="91"/>
      <w:r>
        <w:rPr>
          <w:lang w:val="fr-FR"/>
        </w:rPr>
        <w:t>1.1</w:t>
        <w:tab/>
        <w:t>Definitions.</w:t>
      </w:r>
    </w:p>
    <w:p>
      <w:pPr>
        <w:pStyle w:val="BodyText"/>
        <w:rPr/>
      </w:pPr>
      <w:bookmarkStart w:id="92" w:name="_DV_M59"/>
      <w:bookmarkEnd w:id="92"/>
      <w:r>
        <w:rPr/>
        <w:t>Except as otherwise expressly provided herein, capitalized terms used in this Agreement shall have the meanings given thereto in Exhibit A to the Common Agreement and, if not defined therein, as defined in the Accounts Agreements.  In addition, as used herein the following terms shall have the following respective meanings (all terms defined in this Article 1 and in the other provisions of this Agreement in the singular to have the same meanings when used in the plural and vice versa):</w:t>
      </w:r>
    </w:p>
    <w:p>
      <w:pPr>
        <w:pStyle w:val="BodyText"/>
        <w:spacing w:before="0" w:after="0"/>
        <w:rPr>
          <w:b/>
          <w:bCs/>
          <w:i/>
          <w:i/>
          <w:iCs/>
        </w:rPr>
      </w:pPr>
      <w:bookmarkStart w:id="93" w:name="_DV_M60"/>
      <w:bookmarkEnd w:id="93"/>
      <w:r>
        <w:rPr>
          <w:b/>
          <w:bCs/>
          <w:i/>
          <w:iCs/>
        </w:rPr>
        <w:t xml:space="preserve">Applicable Conversion </w:t>
      </w:r>
    </w:p>
    <w:p>
      <w:pPr>
        <w:pStyle w:val="BodyText"/>
        <w:ind w:hanging="2880" w:start="2880" w:end="0"/>
        <w:rPr/>
      </w:pPr>
      <w:bookmarkStart w:id="94" w:name="_DV_M61"/>
      <w:bookmarkEnd w:id="94"/>
      <w:r>
        <w:rPr>
          <w:b/>
          <w:bCs/>
          <w:i/>
          <w:iCs/>
        </w:rPr>
        <w:t>and Transfer</w:t>
      </w:r>
      <w:r>
        <w:rPr/>
        <w:t xml:space="preserve">:  </w:t>
        <w:tab/>
        <w:t xml:space="preserve">the conversion of Brazilian Reais into U.S. Dollars and the transfer of such U.S. Dollars outside of Brazil.   </w:t>
      </w:r>
    </w:p>
    <w:p>
      <w:pPr>
        <w:pStyle w:val="BodyText"/>
        <w:spacing w:before="0" w:after="0"/>
        <w:ind w:hanging="2880" w:start="2880" w:end="0"/>
        <w:rPr/>
      </w:pPr>
      <w:bookmarkStart w:id="95" w:name="_DV_M62"/>
      <w:bookmarkEnd w:id="95"/>
      <w:r>
        <w:rPr>
          <w:b/>
          <w:bCs/>
          <w:i/>
          <w:iCs/>
        </w:rPr>
        <w:t>Available to be Applied:</w:t>
      </w:r>
      <w:r>
        <w:rPr/>
        <w:t xml:space="preserve"> </w:t>
        <w:tab/>
        <w:t xml:space="preserve">as of any date and with respect to any amount in an Account, that such amount remains in such Account after giving effect to all transfers required to be made from monies in such Account under the terms of the Accounts Agreements on or prior to such date. </w:t>
      </w:r>
    </w:p>
    <w:p>
      <w:pPr>
        <w:pStyle w:val="BodyText"/>
        <w:spacing w:before="0" w:after="0"/>
        <w:ind w:hanging="2880" w:start="2880" w:end="0"/>
        <w:rPr/>
      </w:pPr>
      <w:r>
        <w:rPr/>
      </w:r>
    </w:p>
    <w:p>
      <w:pPr>
        <w:pStyle w:val="BodyText"/>
        <w:spacing w:before="0" w:after="0"/>
        <w:ind w:hanging="2880" w:start="2880" w:end="0"/>
        <w:rPr/>
      </w:pPr>
      <w:bookmarkStart w:id="96" w:name="_DV_M63"/>
      <w:bookmarkEnd w:id="96"/>
      <w:r>
        <w:rPr>
          <w:b/>
          <w:bCs/>
          <w:i/>
          <w:iCs/>
        </w:rPr>
        <w:t>Bankruptcy:</w:t>
        <w:tab/>
      </w:r>
      <w:r>
        <w:rPr/>
        <w:t xml:space="preserve">as defined in Section 2.4(h). </w:t>
      </w:r>
    </w:p>
    <w:p>
      <w:pPr>
        <w:pStyle w:val="BodyText"/>
        <w:spacing w:before="0" w:after="0"/>
        <w:ind w:hanging="2880" w:start="2880" w:end="0"/>
        <w:rPr/>
      </w:pPr>
      <w:r>
        <w:rPr/>
      </w:r>
    </w:p>
    <w:p>
      <w:pPr>
        <w:pStyle w:val="BodyText"/>
        <w:ind w:hanging="2880" w:start="2880" w:end="0"/>
        <w:rPr/>
      </w:pPr>
      <w:bookmarkStart w:id="97" w:name="_DV_M64"/>
      <w:bookmarkEnd w:id="97"/>
      <w:r>
        <w:rPr>
          <w:b/>
          <w:bCs/>
          <w:i/>
          <w:iCs/>
        </w:rPr>
        <w:t>Bankruptcy Laws:</w:t>
        <w:tab/>
      </w:r>
      <w:r>
        <w:rPr/>
        <w:t>as defined in Section 2.4(h).</w:t>
      </w:r>
    </w:p>
    <w:p>
      <w:pPr>
        <w:pStyle w:val="BodyText"/>
        <w:ind w:hanging="2880" w:start="2880" w:end="0"/>
        <w:rPr/>
      </w:pPr>
      <w:bookmarkStart w:id="98" w:name="_DV_M65"/>
      <w:bookmarkEnd w:id="98"/>
      <w:r>
        <w:rPr>
          <w:b/>
          <w:bCs/>
          <w:i/>
          <w:iCs/>
        </w:rPr>
        <w:t>Covered Date:</w:t>
      </w:r>
      <w:r>
        <w:rPr/>
        <w:t xml:space="preserve"> </w:t>
        <w:tab/>
        <w:t>each day that EPE or GasMat (or, after an acceleration of the Advances or the commencement of foreclosure proceedings against the Borrowers in Brazil, EPE, GasMat, the Lenders, or any other Person) is required under the Disbursement Agreement to transfer (or direct the transfer of) funds to one or more Accounts of GasBol to cure an Operating Deficiency of GasBol or to pay any due and unpaid Secured Obligations of GasBol in accordance with the terms of the Disbursement Agreement.</w:t>
      </w:r>
    </w:p>
    <w:p>
      <w:pPr>
        <w:pStyle w:val="BodyText"/>
        <w:spacing w:before="0" w:after="0"/>
        <w:ind w:hanging="2880" w:start="2880" w:end="0"/>
        <w:rPr>
          <w:b/>
          <w:bCs/>
          <w:i/>
          <w:i/>
          <w:iCs/>
        </w:rPr>
      </w:pPr>
      <w:bookmarkStart w:id="99" w:name="_DV_M66"/>
      <w:bookmarkEnd w:id="99"/>
      <w:r>
        <w:rPr>
          <w:b/>
          <w:bCs/>
          <w:i/>
          <w:iCs/>
        </w:rPr>
        <w:t>Covered Guarantee</w:t>
      </w:r>
    </w:p>
    <w:p>
      <w:pPr>
        <w:pStyle w:val="BodyText"/>
        <w:spacing w:before="0" w:after="0"/>
        <w:ind w:hanging="2880" w:start="2880" w:end="0"/>
        <w:rPr/>
      </w:pPr>
      <w:bookmarkStart w:id="100" w:name="_DV_M67"/>
      <w:bookmarkEnd w:id="100"/>
      <w:r>
        <w:rPr>
          <w:b/>
          <w:bCs/>
          <w:i/>
          <w:iCs/>
        </w:rPr>
        <w:t>Amount:</w:t>
        <w:tab/>
      </w:r>
      <w:r>
        <w:rPr/>
        <w:t>as defined in Section 2.1(a).</w:t>
      </w:r>
    </w:p>
    <w:p>
      <w:pPr>
        <w:pStyle w:val="BodyText"/>
        <w:spacing w:before="0" w:after="0"/>
        <w:ind w:hanging="2880" w:start="2880" w:end="0"/>
        <w:rPr/>
      </w:pPr>
      <w:r>
        <w:rPr/>
      </w:r>
    </w:p>
    <w:p>
      <w:pPr>
        <w:pStyle w:val="BodyText"/>
        <w:spacing w:before="0" w:after="0"/>
        <w:rPr>
          <w:b/>
          <w:bCs/>
          <w:i/>
          <w:i/>
          <w:iCs/>
        </w:rPr>
      </w:pPr>
      <w:bookmarkStart w:id="101" w:name="_DV_M68"/>
      <w:bookmarkEnd w:id="101"/>
      <w:r>
        <w:rPr>
          <w:b/>
          <w:bCs/>
          <w:i/>
          <w:iCs/>
        </w:rPr>
        <w:t>Covered Onshore</w:t>
      </w:r>
    </w:p>
    <w:p>
      <w:pPr>
        <w:pStyle w:val="BodyText"/>
        <w:spacing w:before="0" w:after="0"/>
        <w:rPr/>
      </w:pPr>
      <w:bookmarkStart w:id="102" w:name="_DV_M69"/>
      <w:bookmarkEnd w:id="102"/>
      <w:r>
        <w:rPr>
          <w:b/>
          <w:bCs/>
          <w:i/>
          <w:iCs/>
        </w:rPr>
        <w:t>Final Amount:</w:t>
      </w:r>
      <w:r>
        <w:rPr/>
        <w:tab/>
        <w:tab/>
        <w:t>as defined in Section 2.2(b).</w:t>
      </w:r>
    </w:p>
    <w:p>
      <w:pPr>
        <w:pStyle w:val="BodyText"/>
        <w:spacing w:before="0" w:after="0"/>
        <w:rPr/>
      </w:pPr>
      <w:r>
        <w:rPr/>
      </w:r>
    </w:p>
    <w:p>
      <w:pPr>
        <w:pStyle w:val="BodyText"/>
        <w:spacing w:before="0" w:after="0"/>
        <w:ind w:hanging="2880" w:start="2880" w:end="0"/>
        <w:rPr>
          <w:b/>
          <w:bCs/>
          <w:i/>
          <w:i/>
          <w:iCs/>
        </w:rPr>
      </w:pPr>
      <w:bookmarkStart w:id="103" w:name="_DV_M70"/>
      <w:bookmarkEnd w:id="103"/>
      <w:r>
        <w:rPr>
          <w:b/>
          <w:bCs/>
          <w:i/>
          <w:iCs/>
        </w:rPr>
        <w:t>Covered Onshore</w:t>
      </w:r>
    </w:p>
    <w:p>
      <w:pPr>
        <w:pStyle w:val="BodyText"/>
        <w:spacing w:before="0" w:after="0"/>
        <w:ind w:hanging="2880" w:start="2880" w:end="0"/>
        <w:rPr/>
      </w:pPr>
      <w:bookmarkStart w:id="104" w:name="_DV_M71"/>
      <w:bookmarkEnd w:id="104"/>
      <w:r>
        <w:rPr>
          <w:b/>
          <w:bCs/>
          <w:i/>
          <w:iCs/>
        </w:rPr>
        <w:t>Ongoing Amount:</w:t>
        <w:tab/>
      </w:r>
      <w:r>
        <w:rPr/>
        <w:t>as defined in Section 2.2(a).</w:t>
      </w:r>
    </w:p>
    <w:p>
      <w:pPr>
        <w:pStyle w:val="BodyText"/>
        <w:spacing w:before="0" w:after="0"/>
        <w:ind w:hanging="2880" w:start="2880" w:end="0"/>
        <w:rPr/>
      </w:pPr>
      <w:r>
        <w:rPr/>
      </w:r>
    </w:p>
    <w:p>
      <w:pPr>
        <w:pStyle w:val="BodyText"/>
        <w:spacing w:before="0" w:after="0"/>
        <w:ind w:hanging="2880" w:start="2880" w:end="0"/>
        <w:rPr>
          <w:b/>
          <w:bCs/>
          <w:i/>
          <w:i/>
          <w:iCs/>
        </w:rPr>
      </w:pPr>
      <w:bookmarkStart w:id="105" w:name="_DV_M72"/>
      <w:bookmarkEnd w:id="105"/>
      <w:r>
        <w:rPr>
          <w:b/>
          <w:bCs/>
          <w:i/>
          <w:iCs/>
        </w:rPr>
        <w:t>Cross-Guarantee</w:t>
      </w:r>
    </w:p>
    <w:p>
      <w:pPr>
        <w:pStyle w:val="BodyText"/>
        <w:spacing w:before="0" w:after="0"/>
        <w:ind w:hanging="2880" w:start="2880" w:end="0"/>
        <w:rPr/>
      </w:pPr>
      <w:bookmarkStart w:id="106" w:name="_DV_M73"/>
      <w:bookmarkEnd w:id="106"/>
      <w:r>
        <w:rPr>
          <w:b/>
          <w:bCs/>
          <w:i/>
          <w:iCs/>
        </w:rPr>
        <w:t>No Response Date:</w:t>
        <w:tab/>
      </w:r>
      <w:r>
        <w:rPr/>
        <w:t xml:space="preserve">as defined in Section 2.1(a). </w:t>
      </w:r>
    </w:p>
    <w:p>
      <w:pPr>
        <w:pStyle w:val="BodyText"/>
        <w:spacing w:before="0" w:after="0"/>
        <w:ind w:hanging="2880" w:start="2880" w:end="0"/>
        <w:rPr/>
      </w:pPr>
      <w:r>
        <w:rPr/>
      </w:r>
    </w:p>
    <w:p>
      <w:pPr>
        <w:pStyle w:val="BodyText"/>
        <w:spacing w:before="0" w:after="0"/>
        <w:ind w:hanging="2880" w:start="2880" w:end="0"/>
        <w:rPr>
          <w:b/>
          <w:bCs/>
          <w:i/>
          <w:i/>
          <w:iCs/>
        </w:rPr>
      </w:pPr>
      <w:bookmarkStart w:id="107" w:name="_DV_M74"/>
      <w:bookmarkEnd w:id="107"/>
      <w:r>
        <w:rPr>
          <w:b/>
          <w:bCs/>
          <w:i/>
          <w:iCs/>
        </w:rPr>
        <w:t>Cross-Guarantee</w:t>
      </w:r>
    </w:p>
    <w:p>
      <w:pPr>
        <w:pStyle w:val="BodyText"/>
        <w:spacing w:before="0" w:after="0"/>
        <w:ind w:hanging="2880" w:start="2880" w:end="0"/>
        <w:rPr>
          <w:b/>
          <w:bCs/>
          <w:i/>
          <w:i/>
          <w:iCs/>
        </w:rPr>
      </w:pPr>
      <w:bookmarkStart w:id="108" w:name="_DV_M75"/>
      <w:bookmarkEnd w:id="108"/>
      <w:r>
        <w:rPr>
          <w:b/>
          <w:bCs/>
          <w:i/>
          <w:iCs/>
        </w:rPr>
        <w:t>Rejection Date:</w:t>
        <w:tab/>
      </w:r>
      <w:r>
        <w:rPr/>
        <w:t>as defined in Section 2.1(a).</w:t>
      </w:r>
    </w:p>
    <w:p>
      <w:pPr>
        <w:pStyle w:val="BodyText"/>
        <w:spacing w:before="0" w:after="0"/>
        <w:ind w:hanging="2880" w:start="2880" w:end="0"/>
        <w:rPr>
          <w:b/>
          <w:bCs/>
          <w:i/>
          <w:i/>
          <w:iCs/>
        </w:rPr>
      </w:pPr>
      <w:r>
        <w:rPr>
          <w:b/>
          <w:bCs/>
          <w:i/>
          <w:iCs/>
        </w:rPr>
      </w:r>
    </w:p>
    <w:p>
      <w:pPr>
        <w:pStyle w:val="BodyText"/>
        <w:spacing w:before="0" w:after="0"/>
        <w:ind w:hanging="2880" w:start="2880" w:end="0"/>
        <w:rPr>
          <w:b/>
          <w:bCs/>
          <w:i/>
          <w:i/>
          <w:iCs/>
        </w:rPr>
      </w:pPr>
      <w:bookmarkStart w:id="109" w:name="_DV_M76"/>
      <w:bookmarkEnd w:id="109"/>
      <w:r>
        <w:rPr>
          <w:b/>
          <w:bCs/>
          <w:i/>
          <w:iCs/>
        </w:rPr>
        <w:t xml:space="preserve">EPE Debt Service </w:t>
      </w:r>
    </w:p>
    <w:p>
      <w:pPr>
        <w:pStyle w:val="BodyText"/>
        <w:spacing w:before="0" w:after="0"/>
        <w:ind w:hanging="2880" w:start="2880" w:end="0"/>
        <w:rPr/>
      </w:pPr>
      <w:bookmarkStart w:id="110" w:name="_DV_M77"/>
      <w:bookmarkEnd w:id="110"/>
      <w:r>
        <w:rPr>
          <w:b/>
          <w:bCs/>
          <w:i/>
          <w:iCs/>
        </w:rPr>
        <w:t>Payment Date:</w:t>
        <w:tab/>
      </w:r>
      <w:r>
        <w:rPr/>
        <w:t>as defined in Section 2.2(a).</w:t>
      </w:r>
    </w:p>
    <w:p>
      <w:pPr>
        <w:pStyle w:val="BodyText"/>
        <w:spacing w:before="0" w:after="0"/>
        <w:ind w:hanging="2880" w:start="2880" w:end="0"/>
        <w:rPr/>
      </w:pPr>
      <w:r>
        <w:rPr/>
      </w:r>
    </w:p>
    <w:p>
      <w:pPr>
        <w:pStyle w:val="BodyText"/>
        <w:spacing w:before="0" w:after="0"/>
        <w:ind w:hanging="2880" w:start="2880" w:end="0"/>
        <w:rPr>
          <w:b/>
          <w:bCs/>
          <w:i/>
          <w:i/>
          <w:iCs/>
        </w:rPr>
      </w:pPr>
      <w:bookmarkStart w:id="111" w:name="_DV_M78"/>
      <w:bookmarkEnd w:id="111"/>
      <w:r>
        <w:rPr>
          <w:b/>
          <w:bCs/>
          <w:i/>
          <w:iCs/>
        </w:rPr>
        <w:t>EPE O&amp;M</w:t>
      </w:r>
    </w:p>
    <w:p>
      <w:pPr>
        <w:pStyle w:val="BodyText"/>
        <w:spacing w:before="0" w:after="0"/>
        <w:ind w:hanging="2880" w:start="2880" w:end="0"/>
        <w:rPr/>
      </w:pPr>
      <w:bookmarkStart w:id="112" w:name="_DV_M79"/>
      <w:bookmarkEnd w:id="112"/>
      <w:r>
        <w:rPr>
          <w:b/>
          <w:bCs/>
          <w:i/>
          <w:iCs/>
        </w:rPr>
        <w:t>Payment Date:</w:t>
      </w:r>
      <w:r>
        <w:rPr/>
        <w:tab/>
        <w:t>as defined in Section 2.2(a).</w:t>
      </w:r>
    </w:p>
    <w:p>
      <w:pPr>
        <w:pStyle w:val="BodyText"/>
        <w:spacing w:before="0" w:after="0"/>
        <w:ind w:hanging="2880" w:start="2880" w:end="0"/>
        <w:rPr/>
      </w:pPr>
      <w:r>
        <w:rPr/>
      </w:r>
    </w:p>
    <w:p>
      <w:pPr>
        <w:pStyle w:val="BodyText"/>
        <w:spacing w:before="0" w:after="0"/>
        <w:ind w:hanging="2880" w:start="2880" w:end="0"/>
        <w:rPr>
          <w:b/>
          <w:bCs/>
          <w:i/>
          <w:i/>
          <w:iCs/>
        </w:rPr>
      </w:pPr>
      <w:bookmarkStart w:id="113" w:name="_DV_M80"/>
      <w:bookmarkEnd w:id="113"/>
      <w:r>
        <w:rPr>
          <w:b/>
          <w:bCs/>
          <w:i/>
          <w:iCs/>
        </w:rPr>
        <w:t>GasMat Debt Service</w:t>
      </w:r>
    </w:p>
    <w:p>
      <w:pPr>
        <w:pStyle w:val="BodyText"/>
        <w:spacing w:before="0" w:after="0"/>
        <w:ind w:hanging="2880" w:start="2880" w:end="0"/>
        <w:rPr/>
      </w:pPr>
      <w:bookmarkStart w:id="114" w:name="_DV_M81"/>
      <w:bookmarkEnd w:id="114"/>
      <w:r>
        <w:rPr>
          <w:b/>
          <w:bCs/>
          <w:i/>
          <w:iCs/>
        </w:rPr>
        <w:t>Payment Date:</w:t>
        <w:tab/>
      </w:r>
      <w:r>
        <w:rPr/>
        <w:t>as defined in Section 2.2(a).</w:t>
      </w:r>
    </w:p>
    <w:p>
      <w:pPr>
        <w:pStyle w:val="BodyText"/>
        <w:spacing w:before="0" w:after="0"/>
        <w:ind w:hanging="2880" w:start="2880" w:end="0"/>
        <w:rPr/>
      </w:pPr>
      <w:r>
        <w:rPr/>
      </w:r>
    </w:p>
    <w:p>
      <w:pPr>
        <w:pStyle w:val="BodyText"/>
        <w:spacing w:before="0" w:after="0"/>
        <w:ind w:hanging="2880" w:start="2880" w:end="0"/>
        <w:rPr>
          <w:b/>
          <w:bCs/>
          <w:i/>
          <w:i/>
          <w:iCs/>
        </w:rPr>
      </w:pPr>
      <w:bookmarkStart w:id="115" w:name="_DV_M82"/>
      <w:bookmarkEnd w:id="115"/>
      <w:r>
        <w:rPr>
          <w:b/>
          <w:bCs/>
          <w:i/>
          <w:iCs/>
        </w:rPr>
        <w:t>GasMat O&amp;M</w:t>
      </w:r>
    </w:p>
    <w:p>
      <w:pPr>
        <w:pStyle w:val="BodyText"/>
        <w:spacing w:before="0" w:after="0"/>
        <w:ind w:hanging="2880" w:start="2880" w:end="0"/>
        <w:rPr/>
      </w:pPr>
      <w:bookmarkStart w:id="116" w:name="_DV_M83"/>
      <w:bookmarkEnd w:id="116"/>
      <w:r>
        <w:rPr>
          <w:b/>
          <w:bCs/>
          <w:i/>
          <w:iCs/>
        </w:rPr>
        <w:t>Payment Date:</w:t>
        <w:tab/>
      </w:r>
      <w:r>
        <w:rPr/>
        <w:t>as defined in Section 2.2(a).</w:t>
      </w:r>
    </w:p>
    <w:p>
      <w:pPr>
        <w:pStyle w:val="BodyText"/>
        <w:spacing w:before="0" w:after="0"/>
        <w:ind w:hanging="2880" w:start="2880" w:end="0"/>
        <w:rPr/>
      </w:pPr>
      <w:r>
        <w:rPr/>
      </w:r>
    </w:p>
    <w:p>
      <w:pPr>
        <w:pStyle w:val="BodyText"/>
        <w:spacing w:before="0" w:after="0"/>
        <w:ind w:hanging="2880" w:start="2880" w:end="0"/>
        <w:rPr>
          <w:b/>
          <w:bCs/>
          <w:i/>
          <w:i/>
          <w:iCs/>
        </w:rPr>
      </w:pPr>
      <w:bookmarkStart w:id="117" w:name="_DV_M84"/>
      <w:bookmarkEnd w:id="117"/>
      <w:r>
        <w:rPr>
          <w:b/>
          <w:bCs/>
          <w:i/>
          <w:iCs/>
        </w:rPr>
        <w:t>Litigation</w:t>
      </w:r>
    </w:p>
    <w:p>
      <w:pPr>
        <w:pStyle w:val="BodyText"/>
        <w:spacing w:before="0" w:after="0"/>
        <w:ind w:hanging="2880" w:start="2880" w:end="0"/>
        <w:rPr/>
      </w:pPr>
      <w:bookmarkStart w:id="118" w:name="_DV_M85"/>
      <w:bookmarkEnd w:id="118"/>
      <w:r>
        <w:rPr>
          <w:b/>
          <w:bCs/>
          <w:i/>
          <w:iCs/>
        </w:rPr>
        <w:t>Payment:</w:t>
      </w:r>
      <w:r>
        <w:rPr/>
        <w:tab/>
        <w:t>as defined in Section 7.10.</w:t>
      </w:r>
    </w:p>
    <w:p>
      <w:pPr>
        <w:pStyle w:val="BodyText"/>
        <w:spacing w:before="0" w:after="0"/>
        <w:ind w:hanging="2880" w:start="2880" w:end="0"/>
        <w:rPr/>
      </w:pPr>
      <w:r>
        <w:rPr/>
      </w:r>
    </w:p>
    <w:p>
      <w:pPr>
        <w:pStyle w:val="BodyText"/>
        <w:spacing w:before="0" w:after="0"/>
        <w:ind w:hanging="2880" w:start="2880" w:end="0"/>
        <w:rPr>
          <w:b/>
          <w:bCs/>
          <w:i/>
          <w:i/>
          <w:iCs/>
        </w:rPr>
      </w:pPr>
      <w:bookmarkStart w:id="119" w:name="_DV_M86"/>
      <w:bookmarkEnd w:id="119"/>
      <w:r>
        <w:rPr>
          <w:b/>
          <w:bCs/>
          <w:i/>
          <w:iCs/>
        </w:rPr>
        <w:t xml:space="preserve">Judgment </w:t>
      </w:r>
    </w:p>
    <w:p>
      <w:pPr>
        <w:pStyle w:val="BodyText"/>
        <w:spacing w:before="0" w:after="0"/>
        <w:ind w:hanging="2880" w:start="2880" w:end="0"/>
        <w:rPr/>
      </w:pPr>
      <w:bookmarkStart w:id="120" w:name="_DV_M87"/>
      <w:bookmarkEnd w:id="120"/>
      <w:r>
        <w:rPr>
          <w:b/>
          <w:bCs/>
          <w:i/>
          <w:iCs/>
        </w:rPr>
        <w:t>Currency:</w:t>
        <w:tab/>
      </w:r>
      <w:r>
        <w:rPr/>
        <w:t>as defined in Section 7.18.</w:t>
      </w:r>
    </w:p>
    <w:p>
      <w:pPr>
        <w:pStyle w:val="BodyText"/>
        <w:spacing w:before="0" w:after="0"/>
        <w:ind w:hanging="2880" w:start="2880" w:end="0"/>
        <w:rPr/>
      </w:pPr>
      <w:r>
        <w:rPr/>
      </w:r>
    </w:p>
    <w:p>
      <w:pPr>
        <w:pStyle w:val="BodyText"/>
        <w:spacing w:before="0" w:after="0"/>
        <w:ind w:hanging="2880" w:start="2880" w:end="0"/>
        <w:rPr>
          <w:b/>
          <w:bCs/>
          <w:i/>
          <w:i/>
          <w:iCs/>
        </w:rPr>
      </w:pPr>
      <w:bookmarkStart w:id="121" w:name="_DV_M88"/>
      <w:bookmarkEnd w:id="121"/>
      <w:r>
        <w:rPr>
          <w:b/>
          <w:bCs/>
          <w:i/>
          <w:iCs/>
        </w:rPr>
        <w:t>Judgment</w:t>
      </w:r>
    </w:p>
    <w:p>
      <w:pPr>
        <w:pStyle w:val="BodyText"/>
        <w:spacing w:before="0" w:after="0"/>
        <w:ind w:hanging="2880" w:start="2880" w:end="0"/>
        <w:rPr>
          <w:b/>
          <w:bCs/>
          <w:i/>
          <w:i/>
          <w:iCs/>
        </w:rPr>
      </w:pPr>
      <w:bookmarkStart w:id="122" w:name="_DV_M89"/>
      <w:bookmarkEnd w:id="122"/>
      <w:r>
        <w:rPr>
          <w:b/>
          <w:bCs/>
          <w:i/>
          <w:iCs/>
        </w:rPr>
        <w:t>Currency</w:t>
      </w:r>
    </w:p>
    <w:p>
      <w:pPr>
        <w:pStyle w:val="BodyText"/>
        <w:spacing w:before="0" w:after="0"/>
        <w:ind w:hanging="2880" w:start="2880" w:end="0"/>
        <w:rPr>
          <w:b/>
          <w:bCs/>
          <w:i/>
          <w:i/>
          <w:iCs/>
        </w:rPr>
      </w:pPr>
      <w:bookmarkStart w:id="123" w:name="_DV_M90"/>
      <w:bookmarkEnd w:id="123"/>
      <w:r>
        <w:rPr>
          <w:b/>
          <w:bCs/>
          <w:i/>
          <w:iCs/>
        </w:rPr>
        <w:t xml:space="preserve">Conversion </w:t>
      </w:r>
    </w:p>
    <w:p>
      <w:pPr>
        <w:pStyle w:val="BodyText"/>
        <w:spacing w:before="0" w:after="0"/>
        <w:ind w:hanging="2880" w:start="2880" w:end="0"/>
        <w:rPr/>
      </w:pPr>
      <w:bookmarkStart w:id="124" w:name="_DV_M91"/>
      <w:bookmarkEnd w:id="124"/>
      <w:r>
        <w:rPr>
          <w:b/>
          <w:bCs/>
          <w:i/>
          <w:iCs/>
        </w:rPr>
        <w:t>Date:</w:t>
      </w:r>
      <w:r>
        <w:rPr/>
        <w:tab/>
        <w:t>as defined in Section 7.18.</w:t>
      </w:r>
    </w:p>
    <w:p>
      <w:pPr>
        <w:pStyle w:val="BodyText"/>
        <w:spacing w:before="0" w:after="0"/>
        <w:ind w:hanging="2880" w:start="2880" w:end="0"/>
        <w:rPr>
          <w:rFonts w:eastAsia="Times New Roman"/>
        </w:rPr>
      </w:pPr>
      <w:bookmarkStart w:id="125" w:name="_DV_M92"/>
      <w:bookmarkEnd w:id="125"/>
      <w:r>
        <w:rPr>
          <w:rFonts w:eastAsia="Times New Roman"/>
        </w:rPr>
        <w:t xml:space="preserve"> </w:t>
      </w:r>
    </w:p>
    <w:p>
      <w:pPr>
        <w:pStyle w:val="BodyText"/>
        <w:spacing w:before="0" w:after="0"/>
        <w:ind w:hanging="2880" w:start="2880" w:end="0"/>
        <w:rPr/>
      </w:pPr>
      <w:r>
        <w:rPr/>
      </w:r>
    </w:p>
    <w:p>
      <w:pPr>
        <w:pStyle w:val="BodyText"/>
        <w:spacing w:before="0" w:after="0"/>
        <w:rPr>
          <w:b/>
          <w:bCs/>
          <w:i/>
          <w:i/>
          <w:iCs/>
        </w:rPr>
      </w:pPr>
      <w:bookmarkStart w:id="126" w:name="_DV_M93"/>
      <w:bookmarkEnd w:id="126"/>
      <w:r>
        <w:rPr>
          <w:b/>
          <w:bCs/>
          <w:i/>
          <w:iCs/>
        </w:rPr>
        <w:t xml:space="preserve">Notional Approval </w:t>
      </w:r>
    </w:p>
    <w:p>
      <w:pPr>
        <w:pStyle w:val="BodyText"/>
        <w:spacing w:before="0" w:after="0"/>
        <w:ind w:hanging="2880" w:start="2880" w:end="0"/>
        <w:jc w:val="start"/>
        <w:rPr/>
      </w:pPr>
      <w:bookmarkStart w:id="127" w:name="_DV_M94"/>
      <w:bookmarkEnd w:id="127"/>
      <w:r>
        <w:rPr>
          <w:b/>
          <w:bCs/>
          <w:i/>
          <w:iCs/>
        </w:rPr>
        <w:t>Date</w:t>
      </w:r>
      <w:r>
        <w:rPr/>
        <w:t>:</w:t>
        <w:tab/>
      </w:r>
    </w:p>
    <w:p>
      <w:pPr>
        <w:pStyle w:val="BodyText"/>
        <w:ind w:hanging="720" w:start="3600" w:end="0"/>
        <w:rPr/>
      </w:pPr>
      <w:bookmarkStart w:id="128" w:name="_DV_M95"/>
      <w:bookmarkEnd w:id="128"/>
      <w:r>
        <w:rPr/>
        <w:t>(i)</w:t>
        <w:tab/>
        <w:t xml:space="preserve">following each Covered Date occurring prior to the date on which the Lenders have accelerated the Advances in accordance with the terms of the Common Agreement and/or commenced foreclosure proceedings against the Borrowers in Brazil, the date that is 30 days after such Covered Date; </w:t>
      </w:r>
    </w:p>
    <w:p>
      <w:pPr>
        <w:pStyle w:val="BodyText"/>
        <w:numPr>
          <w:ilvl w:val="0"/>
          <w:numId w:val="16"/>
        </w:numPr>
        <w:rPr/>
      </w:pPr>
      <w:bookmarkStart w:id="129" w:name="_DV_M96"/>
      <w:bookmarkEnd w:id="129"/>
      <w:r>
        <w:rPr/>
        <w:t>following the Covered Date occurring after the Lenders have accelerated the Advances in accordance with the terms of the Common Agreement and/or commenced foreclosure proceedings against the Borrowers in Brazil, the date on which the Brazilian Central Bank approves or denies a request for authorization of an Applicable Conversion and Transfer in connection with EPE's and GasMat's respective payment of Secured Obligations (other than in respect of their guarantees of the Secured Obligations of GasBol); and</w:t>
      </w:r>
    </w:p>
    <w:p>
      <w:pPr>
        <w:pStyle w:val="BodyText"/>
        <w:numPr>
          <w:ilvl w:val="0"/>
          <w:numId w:val="16"/>
        </w:numPr>
        <w:rPr/>
      </w:pPr>
      <w:bookmarkStart w:id="130" w:name="_DV_M97"/>
      <w:bookmarkEnd w:id="130"/>
      <w:r>
        <w:rPr/>
        <w:t>following each Covered Date after the Power Purchaser, the PPA Guarantor, or any other Person makes a payment under Paragraph 1 or 2 of Clause 35 of the Power Purchase Agreement, the date on which the Brazilian Central Bank approves or denies a request for authorization of an Applicable Conversion and Transfer in connection with EPE's and GasMat's respective payment of Secured Obligations (other than in respect of their guarantees of the Secured Obligations of GasBol).</w:t>
      </w:r>
    </w:p>
    <w:p>
      <w:pPr>
        <w:pStyle w:val="BodyText"/>
        <w:spacing w:before="0" w:after="0"/>
        <w:rPr>
          <w:b/>
          <w:bCs/>
          <w:i/>
          <w:i/>
          <w:iCs/>
        </w:rPr>
      </w:pPr>
      <w:bookmarkStart w:id="131" w:name="_DV_M98"/>
      <w:bookmarkEnd w:id="131"/>
      <w:r>
        <w:rPr>
          <w:b/>
          <w:bCs/>
          <w:i/>
          <w:iCs/>
        </w:rPr>
        <w:t>Onshore Account</w:t>
      </w:r>
    </w:p>
    <w:p>
      <w:pPr>
        <w:pStyle w:val="BodyText"/>
        <w:spacing w:before="0" w:after="0"/>
        <w:rPr/>
      </w:pPr>
      <w:bookmarkStart w:id="132" w:name="_DV_M99"/>
      <w:bookmarkEnd w:id="132"/>
      <w:r>
        <w:rPr>
          <w:b/>
          <w:bCs/>
          <w:i/>
          <w:iCs/>
        </w:rPr>
        <w:t>No Response Date:</w:t>
      </w:r>
      <w:r>
        <w:rPr/>
        <w:tab/>
        <w:tab/>
        <w:t>as defined in Section 2.2(c).</w:t>
      </w:r>
    </w:p>
    <w:p>
      <w:pPr>
        <w:pStyle w:val="BodyText"/>
        <w:rPr>
          <w:b/>
          <w:bCs/>
          <w:i/>
          <w:i/>
          <w:iCs/>
        </w:rPr>
      </w:pPr>
      <w:r>
        <w:rPr>
          <w:b/>
          <w:bCs/>
          <w:i/>
          <w:iCs/>
        </w:rPr>
      </w:r>
    </w:p>
    <w:p>
      <w:pPr>
        <w:pStyle w:val="BodyText"/>
        <w:spacing w:before="0" w:after="0"/>
        <w:rPr>
          <w:b/>
          <w:bCs/>
          <w:i/>
          <w:i/>
          <w:iCs/>
        </w:rPr>
      </w:pPr>
      <w:bookmarkStart w:id="133" w:name="_DV_M100"/>
      <w:bookmarkEnd w:id="133"/>
      <w:r>
        <w:rPr>
          <w:b/>
          <w:bCs/>
          <w:i/>
          <w:iCs/>
        </w:rPr>
        <w:t>Onshore Account</w:t>
      </w:r>
    </w:p>
    <w:p>
      <w:pPr>
        <w:pStyle w:val="BodyText"/>
        <w:spacing w:before="0" w:after="0"/>
        <w:rPr/>
      </w:pPr>
      <w:bookmarkStart w:id="134" w:name="_DV_M101"/>
      <w:bookmarkEnd w:id="134"/>
      <w:r>
        <w:rPr>
          <w:b/>
          <w:bCs/>
          <w:i/>
          <w:iCs/>
        </w:rPr>
        <w:t>Rejection Date:</w:t>
      </w:r>
      <w:r>
        <w:rPr/>
        <w:tab/>
        <w:tab/>
        <w:t>as defined in Section 2.2(c).</w:t>
      </w:r>
    </w:p>
    <w:p>
      <w:pPr>
        <w:pStyle w:val="BodyText"/>
        <w:rPr>
          <w:b/>
          <w:bCs/>
          <w:i/>
          <w:i/>
          <w:iCs/>
        </w:rPr>
      </w:pPr>
      <w:r>
        <w:rPr>
          <w:b/>
          <w:bCs/>
          <w:i/>
          <w:iCs/>
        </w:rPr>
      </w:r>
    </w:p>
    <w:p>
      <w:pPr>
        <w:pStyle w:val="BodyText"/>
        <w:spacing w:before="0" w:after="0"/>
        <w:rPr>
          <w:b/>
          <w:bCs/>
          <w:i/>
          <w:i/>
          <w:iCs/>
        </w:rPr>
      </w:pPr>
      <w:bookmarkStart w:id="135" w:name="_DV_M102"/>
      <w:bookmarkEnd w:id="135"/>
      <w:r>
        <w:rPr>
          <w:b/>
          <w:bCs/>
          <w:i/>
          <w:iCs/>
        </w:rPr>
        <w:t xml:space="preserve">Onshore Final </w:t>
      </w:r>
    </w:p>
    <w:p>
      <w:pPr>
        <w:pStyle w:val="BodyText"/>
        <w:ind w:hanging="2880" w:start="2880" w:end="0"/>
        <w:rPr/>
      </w:pPr>
      <w:bookmarkStart w:id="136" w:name="_DV_M103"/>
      <w:bookmarkEnd w:id="136"/>
      <w:r>
        <w:rPr>
          <w:b/>
          <w:bCs/>
          <w:i/>
          <w:iCs/>
        </w:rPr>
        <w:t>Covered Date:</w:t>
      </w:r>
      <w:r>
        <w:rPr/>
        <w:t xml:space="preserve"> </w:t>
        <w:tab/>
        <w:t>individually, each of, and collectively, both (a) the date on which the Lenders have accelerated the Advances in accordance with the terms of the Common Agreement and/or commenced foreclosure proceedings against the Borrowers in Brazil or (b) the date on which the Power Purchaser, the PPA Guarantor, or any other Person makes a payment under Paragraph 1 or 2 of Clause 35 of the Power Purchase Agreement.</w:t>
      </w:r>
    </w:p>
    <w:p>
      <w:pPr>
        <w:pStyle w:val="CPNormal"/>
        <w:spacing w:before="0" w:after="0"/>
        <w:ind w:hanging="0" w:end="0"/>
        <w:rPr>
          <w:b/>
          <w:bCs/>
          <w:i/>
          <w:i/>
          <w:iCs/>
        </w:rPr>
      </w:pPr>
      <w:bookmarkStart w:id="137" w:name="_DV_M104"/>
      <w:bookmarkEnd w:id="137"/>
      <w:r>
        <w:rPr>
          <w:b/>
          <w:bCs/>
          <w:i/>
          <w:iCs/>
        </w:rPr>
        <w:t xml:space="preserve">Onshore Ongoing </w:t>
      </w:r>
    </w:p>
    <w:p>
      <w:pPr>
        <w:pStyle w:val="BodyText"/>
        <w:spacing w:before="0" w:after="0"/>
        <w:ind w:hanging="2880" w:start="2880" w:end="0"/>
        <w:rPr/>
      </w:pPr>
      <w:bookmarkStart w:id="138" w:name="_DV_M105"/>
      <w:bookmarkEnd w:id="138"/>
      <w:r>
        <w:rPr>
          <w:b/>
          <w:bCs/>
          <w:i/>
          <w:iCs/>
        </w:rPr>
        <w:t xml:space="preserve">Covered Date: </w:t>
        <w:tab/>
      </w:r>
      <w:r>
        <w:rPr/>
        <w:t xml:space="preserve">individually, each of, and collectively, all of (i) the EPE Debt Service Payment Date, (ii) the EPE O&amp;M Payment Date, (iii) the GasMat Debt Service Payment Date, and (iv) the GasMat O&amp;M Payment Date. </w:t>
      </w:r>
    </w:p>
    <w:p>
      <w:pPr>
        <w:pStyle w:val="BodyText"/>
        <w:spacing w:before="0" w:after="0"/>
        <w:ind w:hanging="2880" w:start="2880" w:end="0"/>
        <w:rPr/>
      </w:pPr>
      <w:r>
        <w:rPr/>
      </w:r>
    </w:p>
    <w:p>
      <w:pPr>
        <w:pStyle w:val="Normal"/>
        <w:spacing w:before="0" w:after="0"/>
        <w:rPr>
          <w:b/>
          <w:bCs/>
          <w:i/>
          <w:i/>
          <w:iCs/>
        </w:rPr>
      </w:pPr>
      <w:bookmarkStart w:id="139" w:name="_DV_M106"/>
      <w:bookmarkEnd w:id="139"/>
      <w:r>
        <w:rPr>
          <w:b/>
          <w:bCs/>
          <w:i/>
          <w:iCs/>
        </w:rPr>
        <w:t xml:space="preserve">Sponsor </w:t>
      </w:r>
    </w:p>
    <w:p>
      <w:pPr>
        <w:pStyle w:val="CPNormal"/>
        <w:ind w:hanging="2880" w:start="2880" w:end="0"/>
        <w:rPr/>
      </w:pPr>
      <w:bookmarkStart w:id="140" w:name="_DV_M107"/>
      <w:bookmarkEnd w:id="140"/>
      <w:r>
        <w:rPr>
          <w:b/>
          <w:bCs/>
          <w:i/>
          <w:iCs/>
        </w:rPr>
        <w:t>Obligations:</w:t>
        <w:tab/>
      </w:r>
      <w:r>
        <w:rPr/>
        <w:t>collectively, the Covered Guarantee Amount, the Covered Onshore Final Amount, and the Covered Onshore Ongoing Amount.</w:t>
      </w:r>
    </w:p>
    <w:p>
      <w:pPr>
        <w:pStyle w:val="Normal"/>
        <w:spacing w:before="0" w:after="0"/>
        <w:ind w:hanging="2160" w:start="2160" w:end="0"/>
        <w:rPr/>
      </w:pPr>
      <w:r>
        <w:rPr/>
      </w:r>
    </w:p>
    <w:p>
      <w:pPr>
        <w:pStyle w:val="BodyText"/>
        <w:spacing w:before="0" w:after="0"/>
        <w:rPr>
          <w:b/>
          <w:bCs/>
          <w:i/>
          <w:i/>
          <w:iCs/>
        </w:rPr>
      </w:pPr>
      <w:bookmarkStart w:id="141" w:name="_DV_M108"/>
      <w:bookmarkEnd w:id="141"/>
      <w:r>
        <w:rPr>
          <w:b/>
          <w:bCs/>
          <w:i/>
          <w:iCs/>
        </w:rPr>
        <w:t>Unapplied Available</w:t>
      </w:r>
    </w:p>
    <w:p>
      <w:pPr>
        <w:pStyle w:val="BodyText"/>
        <w:ind w:hanging="2880" w:start="2880" w:end="0"/>
        <w:rPr/>
      </w:pPr>
      <w:bookmarkStart w:id="142" w:name="_DV_M109"/>
      <w:bookmarkEnd w:id="142"/>
      <w:r>
        <w:rPr>
          <w:rFonts w:eastAsia="Times New Roman"/>
          <w:b/>
          <w:bCs/>
          <w:i/>
          <w:iCs/>
        </w:rPr>
        <w:t xml:space="preserve"> </w:t>
      </w:r>
      <w:r>
        <w:rPr>
          <w:b/>
          <w:bCs/>
          <w:i/>
          <w:iCs/>
        </w:rPr>
        <w:t>Amount:</w:t>
        <w:tab/>
      </w:r>
      <w:r>
        <w:rPr/>
        <w:t>as defined in Section 2.1(e).</w:t>
      </w:r>
    </w:p>
    <w:p>
      <w:pPr>
        <w:pStyle w:val="Heading3"/>
        <w:ind w:hanging="0" w:start="0"/>
        <w:rPr/>
      </w:pPr>
      <w:bookmarkStart w:id="143" w:name="__RefHeading___Toc495746135"/>
      <w:bookmarkStart w:id="144" w:name="_DV_M110"/>
      <w:bookmarkEnd w:id="143"/>
      <w:bookmarkEnd w:id="144"/>
      <w:r>
        <w:rPr/>
        <w:t>1.2</w:t>
        <w:tab/>
        <w:t>Interpretation.</w:t>
      </w:r>
    </w:p>
    <w:p>
      <w:pPr>
        <w:pStyle w:val="BodyText"/>
        <w:rPr/>
      </w:pPr>
      <w:bookmarkStart w:id="145" w:name="_DV_M111"/>
      <w:bookmarkEnd w:id="145"/>
      <w:r>
        <w:rPr/>
        <w:t>Except as otherwise expressly provided herein, the rules for interpretation set forth in Exhibit B to the Common Agreement shall apply to this Agreement.</w:t>
      </w:r>
    </w:p>
    <w:p>
      <w:pPr>
        <w:pStyle w:val="Heading2"/>
        <w:ind w:hanging="0" w:start="0"/>
        <w:rPr/>
      </w:pPr>
      <w:bookmarkStart w:id="146" w:name="__RefHeading___Toc495746136"/>
      <w:bookmarkStart w:id="147" w:name="_DV_M112"/>
      <w:bookmarkEnd w:id="146"/>
      <w:bookmarkEnd w:id="147"/>
      <w:r>
        <w:rPr/>
        <w:t>ARTICLE 2.  Sponsor Obligations</w:t>
      </w:r>
    </w:p>
    <w:p>
      <w:pPr>
        <w:pStyle w:val="Heading3"/>
        <w:ind w:hanging="0" w:start="0"/>
        <w:rPr/>
      </w:pPr>
      <w:bookmarkStart w:id="148" w:name="__RefHeading___Toc495746137"/>
      <w:bookmarkStart w:id="149" w:name="_DV_M113"/>
      <w:bookmarkEnd w:id="148"/>
      <w:bookmarkEnd w:id="149"/>
      <w:r>
        <w:rPr/>
        <w:t>2.1</w:t>
        <w:tab/>
        <w:t>GasBol Cross-Guarantee.</w:t>
      </w:r>
    </w:p>
    <w:p>
      <w:pPr>
        <w:pStyle w:val="CPNormal"/>
        <w:ind w:firstLine="720" w:end="0"/>
        <w:jc w:val="both"/>
        <w:rPr/>
      </w:pPr>
      <w:bookmarkStart w:id="150" w:name="_DV_M114"/>
      <w:bookmarkEnd w:id="150"/>
      <w:r>
        <w:rPr/>
        <w:t>(a)</w:t>
        <w:tab/>
        <w:t xml:space="preserve">Subject to the provisos set forth below, each of Enron and Shell, severally (in the following proportions:  Enron Corp. – 63.4% and SOTL – 36.6%) agrees to pay to GasBol or, at their option, the Common Agent (on behalf of the Secured Parties), in U.S. Dollars, in each case to such account or accounts as the Common Agent may designate, within five Business Days immediately following each Notional Approval Date, the difference (if greater than zero) (the </w:t>
      </w:r>
      <w:r>
        <w:rPr>
          <w:b/>
          <w:bCs/>
          <w:i/>
          <w:iCs/>
        </w:rPr>
        <w:t>Covered Guarantee Amount</w:t>
      </w:r>
      <w:r>
        <w:rPr/>
        <w:t>)</w:t>
      </w:r>
      <w:r>
        <w:rPr>
          <w:b/>
          <w:bCs/>
          <w:i/>
          <w:iCs/>
        </w:rPr>
        <w:t xml:space="preserve"> </w:t>
      </w:r>
      <w:r>
        <w:rPr/>
        <w:t>of:</w:t>
      </w:r>
    </w:p>
    <w:p>
      <w:pPr>
        <w:pStyle w:val="Normal"/>
        <w:spacing w:before="0" w:after="0"/>
        <w:ind w:hanging="720" w:start="1440" w:end="0"/>
        <w:jc w:val="both"/>
        <w:rPr>
          <w:u w:val="single"/>
        </w:rPr>
      </w:pPr>
      <w:bookmarkStart w:id="151" w:name="_DV_M115"/>
      <w:bookmarkEnd w:id="151"/>
      <w:r>
        <w:rPr/>
        <w:t>(i)</w:t>
        <w:tab/>
        <w:t xml:space="preserve">the lesser of (A) the aggregate amount of any Operating Deficiency of GasBol and (without duplication) any Secured Obligations of GasBol (including as a result of an acceleration) that, in each case, are due and unpaid on such Notional Approval Date, and (B) the U.S. Dollar Equivalent of the aggregate amount of Brazilian Reais held in the Brazilian Accounts of GasMat and EPE that are Available to be Applied on such Notional Approval Date to the payment of any such due and unpaid Operating Deficiency of GasBol or due and unpaid Secured Obligations of GasBol pursuant to the terms of the Disbursement Agreement; </w:t>
      </w:r>
      <w:r>
        <w:rPr>
          <w:b/>
          <w:bCs/>
          <w:i/>
          <w:iCs/>
        </w:rPr>
        <w:t>minus</w:t>
      </w:r>
    </w:p>
    <w:p>
      <w:pPr>
        <w:pStyle w:val="Normal"/>
        <w:numPr>
          <w:ilvl w:val="0"/>
          <w:numId w:val="0"/>
        </w:numPr>
        <w:spacing w:before="0" w:after="0"/>
        <w:ind w:hanging="0" w:start="1440" w:end="0"/>
        <w:jc w:val="both"/>
        <w:rPr>
          <w:u w:val="single"/>
        </w:rPr>
      </w:pPr>
      <w:r>
        <w:rPr>
          <w:u w:val="single"/>
        </w:rPr>
      </w:r>
    </w:p>
    <w:p>
      <w:pPr>
        <w:pStyle w:val="CPNormal"/>
        <w:ind w:hanging="720" w:start="1440" w:end="0"/>
        <w:jc w:val="both"/>
        <w:rPr/>
      </w:pPr>
      <w:bookmarkStart w:id="152" w:name="_DV_M116"/>
      <w:bookmarkEnd w:id="152"/>
      <w:r>
        <w:rPr/>
        <w:t>(ii)</w:t>
        <w:tab/>
        <w:t>(A)</w:t>
        <w:tab/>
        <w:t>in the case of an Operating Deficiency of GasBol that is due and unpaid on such Notional Approval Date, the aggregate amount held in the GasBol Offshore Distribution Account, the Cayco Offshore Distribution Accounts, and the Cayco Offshore Operating Accounts then Available to be Applied on such Notional Approval Date to the payment of any such due and unpaid Operating Deficiency of GasBol pursuant to the terms of the Accounts Agreements;</w:t>
      </w:r>
    </w:p>
    <w:p>
      <w:pPr>
        <w:pStyle w:val="CPNormal"/>
        <w:ind w:hanging="0" w:start="1440" w:end="0"/>
        <w:jc w:val="both"/>
        <w:rPr/>
      </w:pPr>
      <w:bookmarkStart w:id="153" w:name="_DV_M117"/>
      <w:bookmarkEnd w:id="153"/>
      <w:r>
        <w:rPr/>
        <w:t>(B)</w:t>
        <w:tab/>
        <w:t xml:space="preserve">in the case of the Secured Obligations of GasBol that are due and unpaid on such Notional Approval Date, the aggregate amount (without duplication of amounts credited pursuant to clause (a)(ii)(A) above) held in the GasBol Offshore Distribution Account, the Cayco Offshore Distribution Accounts, the Cayco Offshore Debt Service Payment Accounts, the TBS Offshore Distribution Account, and the TBS Shareholder Offshore Revenue Accounts then Available to be Applied on such Notional Approval Date to the payment of any such due and unpaid Secured Obligations of GasBol pursuant to the terms of the Accounts Agreements; </w:t>
      </w:r>
    </w:p>
    <w:p>
      <w:pPr>
        <w:pStyle w:val="CPNormal"/>
        <w:ind w:hanging="0" w:start="1440" w:end="0"/>
        <w:jc w:val="both"/>
        <w:rPr/>
      </w:pPr>
      <w:bookmarkStart w:id="154" w:name="_DV_M118"/>
      <w:bookmarkEnd w:id="154"/>
      <w:r>
        <w:rPr/>
        <w:t>(C)</w:t>
        <w:tab/>
        <w:t xml:space="preserve">in the case of a Notional Approval Date falling within paragraph (ii) of the definition thereof, the aggregate amount (without duplication of amounts credited pursuant to clauses (a)(ii)(A) and (a)(ii)(B) above) held in the GasBol Accounts, the Cayco Offshore Accounts, the TBS Offshore Distribution Account, and the TBS Shareholder Offshore Revenue Accounts then Available to be Applied on such Notional Approval Date to the payment of any such due and unpaid Secured Obligations of GasBol pursuant to the terms of the Accounts Agreements; </w:t>
      </w:r>
      <w:r>
        <w:rPr>
          <w:b/>
          <w:bCs/>
          <w:i/>
          <w:iCs/>
        </w:rPr>
        <w:t>provided</w:t>
      </w:r>
      <w:r>
        <w:rPr/>
        <w:t xml:space="preserve"> that amounts held in the Bolivian Accounts shall be calculated by using the U.S. Dollar Equivalent thereof; or</w:t>
      </w:r>
    </w:p>
    <w:p>
      <w:pPr>
        <w:pStyle w:val="CPNormal"/>
        <w:ind w:hanging="0" w:start="1440" w:end="0"/>
        <w:jc w:val="both"/>
        <w:rPr/>
      </w:pPr>
      <w:bookmarkStart w:id="155" w:name="_DV_M119"/>
      <w:bookmarkEnd w:id="155"/>
      <w:r>
        <w:rPr/>
        <w:t>(D)</w:t>
        <w:tab/>
        <w:t xml:space="preserve">in the case of a Notional Approval Date falling within paragraph (iii) of the definition thereof, the aggregate amount (without duplication of amounts credited pursuant to clauses (a)(ii)(A), (a)(ii)(B), and (a)(ii)(C) above) held in the GasBol Accounts, and the Cayco Offshore Accounts then Available to be Applied on such Notional Approval Date to the payment of any such due and unpaid Secured Obligations of GasBol pursuant to the terms of the Accounts Agreements; </w:t>
      </w:r>
      <w:r>
        <w:rPr>
          <w:b/>
          <w:bCs/>
          <w:i/>
          <w:iCs/>
        </w:rPr>
        <w:t>provided</w:t>
      </w:r>
      <w:r>
        <w:rPr/>
        <w:t xml:space="preserve"> that amounts held in the Bolivian Accounts shall be calculated by using the U.S. Dollar Equivalent thereof;</w:t>
      </w:r>
    </w:p>
    <w:p>
      <w:pPr>
        <w:pStyle w:val="CPNormal"/>
        <w:ind w:hanging="0" w:end="0"/>
        <w:jc w:val="both"/>
        <w:rPr/>
      </w:pPr>
      <w:bookmarkStart w:id="156" w:name="_DV_M120"/>
      <w:bookmarkEnd w:id="156"/>
      <w:r>
        <w:rPr>
          <w:b/>
          <w:bCs/>
          <w:i/>
          <w:iCs/>
        </w:rPr>
        <w:t>provided</w:t>
      </w:r>
      <w:r>
        <w:rPr/>
        <w:t xml:space="preserve"> that, notwithstanding anything to the contrary in this Agreement:</w:t>
      </w:r>
    </w:p>
    <w:p>
      <w:pPr>
        <w:pStyle w:val="CPNormal"/>
        <w:numPr>
          <w:ilvl w:val="0"/>
          <w:numId w:val="10"/>
        </w:numPr>
        <w:jc w:val="both"/>
        <w:rPr/>
      </w:pPr>
      <w:bookmarkStart w:id="157" w:name="_DV_M121"/>
      <w:bookmarkEnd w:id="157"/>
      <w:r>
        <w:rPr/>
        <w:t>on any Covered Date, the Covered Guarantee Amount shall in no event exceed:</w:t>
      </w:r>
    </w:p>
    <w:p>
      <w:pPr>
        <w:pStyle w:val="CPNormal"/>
        <w:numPr>
          <w:ilvl w:val="1"/>
          <w:numId w:val="10"/>
        </w:numPr>
        <w:tabs>
          <w:tab w:val="clear" w:pos="720"/>
          <w:tab w:val="left" w:pos="2160" w:leader="none"/>
        </w:tabs>
        <w:ind w:hanging="720" w:start="2160" w:end="0"/>
        <w:jc w:val="both"/>
        <w:rPr/>
      </w:pPr>
      <w:bookmarkStart w:id="158" w:name="_DV_M122"/>
      <w:bookmarkEnd w:id="158"/>
      <w:r>
        <w:rPr/>
        <w:t xml:space="preserve">if such Covered Date occurs after the Lenders have accelerated the Advances in accordance with the terms of the Common Agreement and/or have commenced foreclosure proceedings against the Borrowers in Brazil, the lesser of (x) the amount of Brazilian Reais that arise out of a sale or other disposal of the Collateral (including application of amounts held in the Brazilian Accounts) in which the Lenders have been granted a security interest by EPE or GasMat (including, to the extent that the guarantees by EPE and GasMat of the Secured Obligations of GasBol are not enforceable by reason of the failure of the Brazilian Central Bank to have issued an applicable pre-approval for an Applicable Conversion and Transfer, amounts arising out of such sale or disposal to which the Lenders would have had a claim under the Financing Documents but for the unenforceability of such guarantees) after giving effect to the payment of all Secured Obligations then due by EPE and GasMat (other than in respect of the guarantees by EPE and GasMat of the Secured Obligations of GasBol and other than in respect of amounts owed to the Liquidity Facility Providers), it being understood that the Lenders are under no obligation to foreclose or exercise remedies (including application of amounts held in Brazilian Accounts) in respect of all or any part of such Collateral and that, in the event that the Lenders have not by such Covered Date elected to foreclose or exercise any of such remedies, the amount under this clause (x)(1) shall be zero, and (y) U.S.$200,000,000; </w:t>
      </w:r>
      <w:r>
        <w:rPr>
          <w:b/>
          <w:bCs/>
          <w:i/>
          <w:iCs/>
        </w:rPr>
        <w:t xml:space="preserve">provided </w:t>
      </w:r>
      <w:r>
        <w:rPr/>
        <w:t>that payment under this Section 2.1 with respect to a Covered Date of the kind described in clause (B) below shall not be counted for purposes of determining the limitation of liability set forth in this clause (A); and</w:t>
      </w:r>
    </w:p>
    <w:p>
      <w:pPr>
        <w:pStyle w:val="CPNormal"/>
        <w:numPr>
          <w:ilvl w:val="1"/>
          <w:numId w:val="10"/>
        </w:numPr>
        <w:tabs>
          <w:tab w:val="clear" w:pos="720"/>
          <w:tab w:val="left" w:pos="2160" w:leader="none"/>
        </w:tabs>
        <w:ind w:hanging="720" w:start="2160" w:end="0"/>
        <w:jc w:val="both"/>
        <w:rPr/>
      </w:pPr>
      <w:bookmarkStart w:id="159" w:name="_DV_M123"/>
      <w:bookmarkEnd w:id="159"/>
      <w:r>
        <w:rPr/>
        <w:t xml:space="preserve">if such Covered Date occurs before the Lenders have accelerated the Advances in accordance with the terms of the Common Agreement and/or commenced foreclosure proceedings against the Borrowers in Brazil, an amount equal to the difference (if greater than zero) of (x) U.S.$160,000,000, </w:t>
      </w:r>
      <w:r>
        <w:rPr>
          <w:b/>
          <w:bCs/>
          <w:i/>
          <w:iCs/>
        </w:rPr>
        <w:t>minus</w:t>
      </w:r>
      <w:r>
        <w:rPr/>
        <w:t xml:space="preserve"> (y) the aggregate amount paid by the Sponsors in accordance with the terms of this Agreement in respect of Covered Guarantee Amounts in the consecutive 12 month period ending on such Covered Date.</w:t>
      </w:r>
    </w:p>
    <w:p>
      <w:pPr>
        <w:pStyle w:val="CPNormal"/>
        <w:ind w:hanging="720" w:start="1440" w:end="0"/>
        <w:jc w:val="both"/>
        <w:rPr/>
      </w:pPr>
      <w:bookmarkStart w:id="160" w:name="_DV_M124"/>
      <w:bookmarkEnd w:id="160"/>
      <w:r>
        <w:rPr/>
        <w:t>(II)</w:t>
        <w:tab/>
        <w:t xml:space="preserve">if on or before any Notional Approval Date the amount of U.S. Dollars the Lenders are able to obtain outside of Brazil for the purpose of satisfying the Secured Obligations and O&amp;M Costs of EPE and GasMat (other than the guarantee by EPE and GasMat of the Secured Obligations and O&amp;M Costs of GasBol, if any) pursuant to the terms of the then most recent Brazilian Central Bank approval for such purpose, is less than the full amount of U.S. Dollars requested by the Lenders, EPE, GasMat, or any other Person pursuant to the then most recent Brazilian Central Bank approval, then the Covered Guarantee Amount shall be reduced by the same proportionate amount; </w:t>
      </w:r>
      <w:r>
        <w:rPr>
          <w:b/>
          <w:bCs/>
          <w:i/>
          <w:iCs/>
        </w:rPr>
        <w:t>provided</w:t>
      </w:r>
      <w:r>
        <w:rPr/>
        <w:t xml:space="preserve"> that if on such Notional Approval Date a moratorium or other general prohibition shall have been imposed by the Brazilian Central Bank upon the conversion of Brazilian Reais into U.S. Dollars or the transfer of such U.S. Dollars outside Brazil (</w:t>
      </w:r>
      <w:r>
        <w:rPr>
          <w:i/>
          <w:iCs/>
        </w:rPr>
        <w:t>i.e.</w:t>
      </w:r>
      <w:r>
        <w:rPr/>
        <w:t>, a moratorium or other prohibition that applies whether or not Brazilian Central Bank approval was obtained in advance for the conversion of Brazilian Reais into U.S. Dollars or the transfer of such U.S. Dollars outside Brazil) and be continuing on such Notional Approval Date, the Covered Guarantee Amount shall be zero; and</w:t>
      </w:r>
    </w:p>
    <w:p>
      <w:pPr>
        <w:pStyle w:val="CPNormal"/>
        <w:ind w:hanging="720" w:start="1440" w:end="0"/>
        <w:jc w:val="both"/>
        <w:rPr/>
      </w:pPr>
      <w:bookmarkStart w:id="161" w:name="_DV_M125"/>
      <w:bookmarkEnd w:id="161"/>
      <w:r>
        <w:rPr/>
        <w:t>(III)</w:t>
        <w:tab/>
        <w:t xml:space="preserve">each Sponsor's obligation to make any payment pursuant to this Section 2.1 is expressly subject to the condition that, within 90 days following the Covered Date that would give rise to such payment, EPE or GasMat (whether at the request of the Lenders or otherwise), the Lenders, or the Brazilian Collateral Agent request the Brazilian Central Bank, in writing and in form and substance complying with the rules and regulations of the Brazilian Central Bank, to authorize EPE or GasMat, as applicable, to effect an Applicable Conversion and Transfer to GasBol, such condition not to be applicable if the Brazilian Central Bank has already denied a request previously submitted for the same purpose within the 10 day period immediately prior to or immediately following such Covered Date; </w:t>
      </w:r>
      <w:r>
        <w:rPr>
          <w:b/>
          <w:bCs/>
          <w:i/>
          <w:iCs/>
        </w:rPr>
        <w:t>provided</w:t>
      </w:r>
      <w:r>
        <w:rPr/>
        <w:t xml:space="preserve">, </w:t>
      </w:r>
      <w:r>
        <w:rPr>
          <w:b/>
          <w:bCs/>
          <w:i/>
          <w:iCs/>
        </w:rPr>
        <w:t>however</w:t>
      </w:r>
      <w:r>
        <w:rPr/>
        <w:t xml:space="preserve">, that in the event that there are no rules or regulations in place relating to the form or substance of such request(s) or if the requirements of the applicable rules and regulations render compliance unreasonably difficult, unreasonably expensive, or impossible, EPE, GasMat, the Lenders or the Brazilian Collateral Agent (as the case may be) shall be required only to take steps that would normally be taken to obtain an Applicable Conversion and Transfer that is not subject to pre-approval; </w:t>
      </w:r>
      <w:r>
        <w:rPr>
          <w:b/>
          <w:bCs/>
          <w:i/>
          <w:iCs/>
        </w:rPr>
        <w:t>provided</w:t>
      </w:r>
      <w:r>
        <w:rPr>
          <w:i/>
          <w:iCs/>
        </w:rPr>
        <w:t xml:space="preserve"> </w:t>
      </w:r>
      <w:r>
        <w:rPr>
          <w:b/>
          <w:bCs/>
          <w:i/>
          <w:iCs/>
        </w:rPr>
        <w:t>further</w:t>
      </w:r>
      <w:r>
        <w:rPr/>
        <w:t xml:space="preserve"> that, notwithstanding the foregoing, if, with respect to any Covered Date, the Brazilian Central Bank does not respond to a request for an Applicable Conversion and Transfer within 180 days after such Covered Date (the </w:t>
      </w:r>
      <w:r>
        <w:rPr>
          <w:b/>
          <w:bCs/>
          <w:i/>
          <w:iCs/>
        </w:rPr>
        <w:t>Cross Guarantee No Response Date</w:t>
      </w:r>
      <w:r>
        <w:rPr/>
        <w:t xml:space="preserve">) or rejects all or part of the requested Applicable Conversion and Transfer (the date of notification to the Sponsors of such rejection, a </w:t>
      </w:r>
      <w:r>
        <w:rPr>
          <w:b/>
          <w:bCs/>
          <w:i/>
          <w:iCs/>
        </w:rPr>
        <w:t>Cross Guarantee Rejection Date</w:t>
      </w:r>
      <w:r>
        <w:rPr/>
        <w:t>), then each Sponsor shall pay the amount due by it in respect of the applicable Covered Guarantee Amount within five Business Days following such Cross Guarantee No Response Date or Cross Guarantee Rejection Date (as the case may be).</w:t>
      </w:r>
    </w:p>
    <w:p>
      <w:pPr>
        <w:pStyle w:val="CPNormal"/>
        <w:ind w:firstLine="720" w:end="0"/>
        <w:jc w:val="both"/>
        <w:rPr/>
      </w:pPr>
      <w:bookmarkStart w:id="162" w:name="_DV_M126"/>
      <w:bookmarkEnd w:id="162"/>
      <w:r>
        <w:rPr/>
        <w:t>(b)</w:t>
        <w:tab/>
        <w:t>Each of EPE and GasMat hereby agrees that (i) within five Business Days following the request of the Lenders or the Brazilian Collateral Agent, it will request the authorization of the Brazilian Central Bank referred to in paragraph (III) of the proviso in Section 2.1(a) above if EPE or GasMat, as applicable, is permitted to do so under Applicable Law, and (ii) the amount of U.S. Dollars it will request as contemplated in paragraph (II) of the proviso in Section 2.1(a) above will be the full amount then owed by EPE or GasMat, as applicable, in respect of the Secured Obligations and O&amp;M Costs referred to in such paragraph (II).</w:t>
      </w:r>
    </w:p>
    <w:p>
      <w:pPr>
        <w:pStyle w:val="CPNormal"/>
        <w:ind w:firstLine="720" w:end="0"/>
        <w:jc w:val="both"/>
        <w:rPr/>
      </w:pPr>
      <w:bookmarkStart w:id="163" w:name="_DV_M127"/>
      <w:bookmarkEnd w:id="163"/>
      <w:r>
        <w:rPr/>
        <w:t>(c)</w:t>
        <w:tab/>
        <w:t>(i)</w:t>
        <w:tab/>
        <w:t>Upon payment by any Sponsor of any amount under this Section 2.1, GasBol shall issue to such Sponsor a promissory note in a principal amount equal to the U.S. Dollar amount advanced to GasBol (or the Common Agent (on behalf of the Secured Parties)) by such Sponsor on the date of such payment.  Such promissory note, and all amounts payable thereunder, shall constitute Subordinated Debt of GasBol and shall be subject to the same terms and conditions as Shareholder Subordinated Debt.</w:t>
      </w:r>
    </w:p>
    <w:p>
      <w:pPr>
        <w:pStyle w:val="BodyText"/>
        <w:rPr/>
      </w:pPr>
      <w:bookmarkStart w:id="164" w:name="_DV_M128"/>
      <w:bookmarkEnd w:id="164"/>
      <w:r>
        <w:rPr/>
        <w:tab/>
        <w:tab/>
        <w:t>(ii)</w:t>
        <w:tab/>
        <w:t xml:space="preserve">Notwithstanding the foregoing paragraph (c)(i), each Sponsor shall be entitled to present to EPE and/or GasMat each promissory note issued by GasBol to such Sponsor (to the extent that the principal amount of such promissory note represents amounts advanced pursuant to Section 2.1(a) in respect of the obligations of such Borrower), and upon presentation EPE and/or GasMat, as applicable, shall purchase each such promissory note (or portion thereof) for the Brazilian Reais Equivalent of the outstanding U.S. Dollar principal amount thereof (calculated at the exchange rate in effect on the date the Sponsors made the relevant advance to GasBol (or the Common Agent (on behalf of the Secured Parties))).  If a promissory note is presented for payment under this Section 2.1(c)(ii), payment shall be made with Brazilian Reais on deposit in the Onshore Distribution Account, the Onshore Dollar Proxy Debt Service Payment Account, or the Onshore Dollar Proxy Operating Account of EPE or GasMat, as applicable; </w:t>
      </w:r>
      <w:r>
        <w:rPr>
          <w:b/>
          <w:bCs/>
          <w:i/>
          <w:iCs/>
        </w:rPr>
        <w:t>provided</w:t>
      </w:r>
      <w:r>
        <w:rPr/>
        <w:t xml:space="preserve"> that if the necessary Governmental Approvals of the Brazilian Central Bank are obtained, payment in respect thereof may be made in U.S. Dollars by converting the Brazilian Reais on deposit in such Accounts into U.S. Dollars (calculated using the exchange rate in effect on the date the Sponsors made the relevant advance to GasBol (or the Common Agent (on behalf of the Secured Parties)).</w:t>
      </w:r>
    </w:p>
    <w:p>
      <w:pPr>
        <w:pStyle w:val="CPNormal"/>
        <w:ind w:firstLine="720" w:end="0"/>
        <w:jc w:val="both"/>
        <w:rPr/>
      </w:pPr>
      <w:bookmarkStart w:id="165" w:name="_DV_M129"/>
      <w:bookmarkEnd w:id="165"/>
      <w:r>
        <w:rPr/>
        <w:t>(d)</w:t>
        <w:tab/>
        <w:t>In the event that a Sponsor makes a payment in respect of the Secured Obligations of GasBol under this Section 2.1 directly to the Common Agent (on behalf of the Secured Parties), the Secured Obligations of GasBol shall be reduced to the extent of such payment.</w:t>
      </w:r>
    </w:p>
    <w:p>
      <w:pPr>
        <w:pStyle w:val="CPNormal"/>
        <w:ind w:firstLine="720" w:end="0"/>
        <w:jc w:val="both"/>
        <w:rPr/>
      </w:pPr>
      <w:bookmarkStart w:id="166" w:name="_DV_M130"/>
      <w:bookmarkEnd w:id="166"/>
      <w:r>
        <w:rPr/>
        <w:t>(e)</w:t>
        <w:tab/>
        <w:t xml:space="preserve">In the event that (i) any amount is deemed to be "Available to be Applied" for the purpose of calculating the amount due by the Sponsors under this Section 2.1 but such amount is not actually applied as so contemplated because of the negligence or failure to act of one or more of the Borrowers, TBS, or the Caycos (such unapplied amount being hereinafter referred to as an </w:t>
      </w:r>
      <w:r>
        <w:rPr>
          <w:b/>
          <w:bCs/>
          <w:i/>
          <w:iCs/>
        </w:rPr>
        <w:t>Unapplied Available Amount</w:t>
      </w:r>
      <w:r>
        <w:rPr/>
        <w:t xml:space="preserve">), (ii) an acceleration and/or foreclosure by the Lenders has occurred, and (iii) any Secured Obligations of GasBol remain due and unpaid, the Covered Guarantee Amount shall be increased by an amount equal to the Unapplied Available Amount; </w:t>
      </w:r>
      <w:r>
        <w:rPr>
          <w:b/>
          <w:bCs/>
          <w:i/>
          <w:iCs/>
        </w:rPr>
        <w:t xml:space="preserve">provided </w:t>
      </w:r>
      <w:r>
        <w:rPr/>
        <w:t>that none of the Borrowers, TBS, or the Caycos shall be deemed to have been negligent or to have failed to act for purposes of this Section 2.1(e) to the extent that it is not entitled to issue requisitions in accordance with the terms of the Accounts Agreements.</w:t>
      </w:r>
    </w:p>
    <w:p>
      <w:pPr>
        <w:pStyle w:val="a"/>
        <w:keepNext w:val="true"/>
        <w:keepLines/>
        <w:numPr>
          <w:ilvl w:val="1"/>
          <w:numId w:val="3"/>
        </w:numPr>
        <w:tabs>
          <w:tab w:val="clear" w:pos="720"/>
          <w:tab w:val="left" w:pos="0" w:leader="none"/>
        </w:tabs>
        <w:rPr>
          <w:b/>
          <w:bCs/>
        </w:rPr>
      </w:pPr>
      <w:bookmarkStart w:id="167" w:name="_DV_M131"/>
      <w:bookmarkEnd w:id="167"/>
      <w:r>
        <w:rPr>
          <w:b/>
          <w:bCs/>
        </w:rPr>
        <w:t>Onshore Accounts.</w:t>
      </w:r>
    </w:p>
    <w:p>
      <w:pPr>
        <w:pStyle w:val="CPNormal"/>
        <w:keepNext w:val="true"/>
        <w:keepLines/>
        <w:ind w:firstLine="720" w:end="0"/>
        <w:jc w:val="both"/>
        <w:rPr/>
      </w:pPr>
      <w:bookmarkStart w:id="168" w:name="_DV_M132"/>
      <w:bookmarkEnd w:id="168"/>
      <w:r>
        <w:rPr/>
        <w:t>(a)</w:t>
        <w:tab/>
        <w:t>Subject to Section 2.2(c), each of Enron Corp and SOTL severally (in the following proportions:  Enron Corp. – 63.4%</w:t>
      </w:r>
      <w:r>
        <w:rPr>
          <w:b/>
          <w:bCs/>
        </w:rPr>
        <w:t xml:space="preserve"> </w:t>
      </w:r>
      <w:r>
        <w:rPr/>
        <w:t>and SOTL – 36.6%) agrees to pay to the Common Agent (on behalf of the Secured Parties),</w:t>
      </w:r>
      <w:r>
        <w:rPr>
          <w:i/>
          <w:iCs/>
        </w:rPr>
        <w:t xml:space="preserve"> </w:t>
      </w:r>
      <w:r>
        <w:rPr/>
        <w:t xml:space="preserve">in U.S. Dollars, to such account or accounts as the Common Agent may designate, within five Business Days immediately following each Onshore Ongoing Covered Date, the amount specified in each of paragraphs (i) through (viii) (inclusive) below (each such amount, a </w:t>
      </w:r>
      <w:r>
        <w:rPr>
          <w:b/>
          <w:bCs/>
          <w:i/>
          <w:iCs/>
        </w:rPr>
        <w:t>Covered Onshore Ongoing Amount</w:t>
      </w:r>
      <w:r>
        <w:rPr>
          <w:i/>
          <w:iCs/>
        </w:rPr>
        <w:t>)</w:t>
      </w:r>
      <w:r>
        <w:rPr/>
        <w:t>:</w:t>
      </w:r>
    </w:p>
    <w:p>
      <w:pPr>
        <w:pStyle w:val="CPNormal"/>
        <w:numPr>
          <w:ilvl w:val="1"/>
          <w:numId w:val="13"/>
        </w:numPr>
        <w:ind w:hanging="720" w:start="1440" w:end="0"/>
        <w:jc w:val="both"/>
        <w:rPr/>
      </w:pPr>
      <w:bookmarkStart w:id="169" w:name="_DV_M133"/>
      <w:bookmarkEnd w:id="169"/>
      <w:r>
        <w:rPr/>
        <w:t xml:space="preserve">in the case of any transfer of funds from the EPE Onshore Dollar Proxy Debt Service Payment Account (the date of such transfer being referred to as, the </w:t>
      </w:r>
      <w:r>
        <w:rPr>
          <w:b/>
          <w:bCs/>
          <w:i/>
          <w:iCs/>
        </w:rPr>
        <w:t>EPE Debt Service Payment Date</w:t>
      </w:r>
      <w:r>
        <w:rPr/>
        <w:t xml:space="preserve">) the difference (if greater than zero) of: </w:t>
      </w:r>
    </w:p>
    <w:p>
      <w:pPr>
        <w:pStyle w:val="CPNormal"/>
        <w:ind w:hanging="720" w:start="2160" w:end="0"/>
        <w:jc w:val="both"/>
        <w:rPr/>
      </w:pPr>
      <w:bookmarkStart w:id="170" w:name="_DV_M134"/>
      <w:bookmarkEnd w:id="170"/>
      <w:r>
        <w:rPr/>
        <w:t>(A)</w:t>
        <w:tab/>
        <w:t xml:space="preserve">the U.S. Dollar Equivalent of the amount of Brazilian Reais in the EPE Onshore Dollar Proxy Debt Service Payment Account on the date that monies are transferred thereto from the EPE Onshore Revenue Account (computed after the transfer); </w:t>
      </w:r>
      <w:r>
        <w:rPr>
          <w:b/>
          <w:bCs/>
          <w:i/>
          <w:iCs/>
        </w:rPr>
        <w:t>minus</w:t>
      </w:r>
      <w:r>
        <w:rPr/>
        <w:t xml:space="preserve"> </w:t>
      </w:r>
    </w:p>
    <w:p>
      <w:pPr>
        <w:pStyle w:val="CPNormal"/>
        <w:ind w:hanging="720" w:start="2160" w:end="0"/>
        <w:jc w:val="both"/>
        <w:rPr>
          <w:u w:val="single"/>
        </w:rPr>
      </w:pPr>
      <w:bookmarkStart w:id="171" w:name="_DV_M135"/>
      <w:bookmarkEnd w:id="171"/>
      <w:r>
        <w:rPr/>
        <w:t>(B)</w:t>
        <w:tab/>
        <w:t xml:space="preserve">the sum of (x) the U.S. Dollar Equivalent of the amount of Brazilian Reais in the EPE Onshore Dollar Proxy Debt Service Payment Account on the EPE Debt Service Payment Date; </w:t>
      </w:r>
      <w:r>
        <w:rPr>
          <w:b/>
          <w:bCs/>
          <w:i/>
          <w:iCs/>
        </w:rPr>
        <w:t>plus</w:t>
      </w:r>
    </w:p>
    <w:p>
      <w:pPr>
        <w:pStyle w:val="CPNormal"/>
        <w:numPr>
          <w:ilvl w:val="0"/>
          <w:numId w:val="0"/>
        </w:numPr>
        <w:ind w:hanging="0" w:start="2160" w:end="0"/>
        <w:jc w:val="both"/>
        <w:rPr>
          <w:u w:val="single"/>
        </w:rPr>
      </w:pPr>
      <w:bookmarkStart w:id="172" w:name="_DV_M136"/>
      <w:bookmarkEnd w:id="172"/>
      <w:r>
        <w:rPr/>
        <w:t>(y)</w:t>
        <w:tab/>
        <w:t>the aggregate amount of U.S. Dollars (without duplication of amounts applied pursuant to clauses (a)(ii), (a)(iii), and (a)(iv)) held in the GasBol Offshore Debt Service Payment Account, the GasBol Offshore Distribution Account, the Cayco Offshore Distribution Accounts, the Cayco Offshore Debt Service Payment Accounts, the TBS Offshore Distribution Account, and the TBS Shareholder Offshore Revenue Accounts on such date then Available to be Applied to the payment of any due and unpaid Debt Service of EPE pursuant to the terms of the Accounts Agreements;</w:t>
      </w:r>
    </w:p>
    <w:p>
      <w:pPr>
        <w:pStyle w:val="CPNormal"/>
        <w:ind w:hanging="720" w:start="1440" w:end="0"/>
        <w:jc w:val="both"/>
        <w:rPr/>
      </w:pPr>
      <w:bookmarkStart w:id="173" w:name="_DV_M137"/>
      <w:bookmarkEnd w:id="173"/>
      <w:r>
        <w:rPr/>
        <w:t>(ii)</w:t>
        <w:tab/>
        <w:t xml:space="preserve">in the case of any transfer of funds from the EPE Onshore Dollar Proxy Operating Account (the date of such transfer being referred to as, the </w:t>
      </w:r>
      <w:r>
        <w:rPr>
          <w:b/>
          <w:bCs/>
          <w:i/>
          <w:iCs/>
        </w:rPr>
        <w:t>EPE O&amp;M Payment Date</w:t>
      </w:r>
      <w:r>
        <w:rPr/>
        <w:t xml:space="preserve">) the difference (if greater than zero) of: </w:t>
      </w:r>
    </w:p>
    <w:p>
      <w:pPr>
        <w:pStyle w:val="CPNormal"/>
        <w:ind w:hanging="720" w:start="2160" w:end="0"/>
        <w:jc w:val="both"/>
        <w:rPr/>
      </w:pPr>
      <w:bookmarkStart w:id="174" w:name="_DV_M138"/>
      <w:bookmarkEnd w:id="174"/>
      <w:r>
        <w:rPr/>
        <w:t>(A)</w:t>
        <w:tab/>
        <w:t xml:space="preserve">the U.S. Dollar Equivalent of the amount of Brazilian Reais in the EPE Onshore Dollar Proxy Operating Account on the date that monies are transferred thereto from the EPE Onshore Revenue Account (computed after the transfer); </w:t>
      </w:r>
      <w:r>
        <w:rPr>
          <w:b/>
          <w:bCs/>
          <w:i/>
          <w:iCs/>
        </w:rPr>
        <w:t>minus</w:t>
      </w:r>
      <w:r>
        <w:rPr/>
        <w:t xml:space="preserve"> </w:t>
      </w:r>
    </w:p>
    <w:p>
      <w:pPr>
        <w:pStyle w:val="CPNormal"/>
        <w:ind w:hanging="720" w:start="2160" w:end="0"/>
        <w:jc w:val="both"/>
        <w:rPr>
          <w:u w:val="single"/>
        </w:rPr>
      </w:pPr>
      <w:bookmarkStart w:id="175" w:name="_DV_M139"/>
      <w:bookmarkEnd w:id="175"/>
      <w:r>
        <w:rPr/>
        <w:t>(B)</w:t>
        <w:tab/>
        <w:t xml:space="preserve">the sum of (x) the U.S. Dollar Equivalent of the amount of Brazilian Reais in the EPE Onshore Dollar Proxy Operating Account on the EPE O&amp;M Payment Date; </w:t>
      </w:r>
      <w:r>
        <w:rPr>
          <w:b/>
          <w:bCs/>
          <w:i/>
          <w:iCs/>
        </w:rPr>
        <w:t>plus</w:t>
      </w:r>
    </w:p>
    <w:p>
      <w:pPr>
        <w:pStyle w:val="CPNormal"/>
        <w:numPr>
          <w:ilvl w:val="0"/>
          <w:numId w:val="0"/>
        </w:numPr>
        <w:ind w:hanging="0" w:start="2160" w:end="0"/>
        <w:jc w:val="both"/>
        <w:rPr>
          <w:u w:val="single"/>
        </w:rPr>
      </w:pPr>
      <w:bookmarkStart w:id="176" w:name="_DV_M140"/>
      <w:bookmarkEnd w:id="176"/>
      <w:r>
        <w:rPr/>
        <w:t>(y)</w:t>
        <w:tab/>
        <w:t>the aggregate amount of U.S. Dollars (without duplication of amounts applied pursuant to clauses (a)(i), (a)(iii), and (a)(iv)) held in the GasBol Offshore Distribution Account, the Cayco Offshore Distribution Accounts, and the Cayco Offshore Operating Accounts on such date then Available to be Applied to the payment of any due and unpaid O&amp;M Costs of EPE pursuant to the terms of the Accounts Agreements;</w:t>
      </w:r>
    </w:p>
    <w:p>
      <w:pPr>
        <w:pStyle w:val="CPNormal"/>
        <w:ind w:hanging="720" w:start="1440" w:end="0"/>
        <w:jc w:val="both"/>
        <w:rPr/>
      </w:pPr>
      <w:bookmarkStart w:id="177" w:name="_DV_M141"/>
      <w:bookmarkEnd w:id="177"/>
      <w:r>
        <w:rPr/>
        <w:t>(iii)</w:t>
        <w:tab/>
        <w:t xml:space="preserve">in the case of any transfer of funds from the GasMat Onshore Dollar Proxy Debt Service Payment Account (the date of such transfer being referred to as, the </w:t>
      </w:r>
      <w:r>
        <w:rPr>
          <w:b/>
          <w:bCs/>
          <w:i/>
          <w:iCs/>
        </w:rPr>
        <w:t>GasMat Debt Service Payment Date</w:t>
      </w:r>
      <w:r>
        <w:rPr/>
        <w:t xml:space="preserve">) the difference (if greater than zero) of: </w:t>
      </w:r>
    </w:p>
    <w:p>
      <w:pPr>
        <w:pStyle w:val="CPNormal"/>
        <w:numPr>
          <w:ilvl w:val="0"/>
          <w:numId w:val="9"/>
        </w:numPr>
        <w:tabs>
          <w:tab w:val="clear" w:pos="720"/>
          <w:tab w:val="left" w:pos="2160" w:leader="none"/>
        </w:tabs>
        <w:ind w:hanging="720" w:start="2160" w:end="0"/>
        <w:jc w:val="both"/>
        <w:rPr/>
      </w:pPr>
      <w:bookmarkStart w:id="178" w:name="_DV_M142"/>
      <w:bookmarkEnd w:id="178"/>
      <w:r>
        <w:rPr/>
        <w:t xml:space="preserve">the U.S. Dollar Equivalent of the amount of Brazilian Reais in the GasMat Onshore Dollar Proxy Debt Service Payment Account on the date that monies are transferred thereto from the GasMat Onshore Revenue Account (computed after the transfer); </w:t>
      </w:r>
      <w:r>
        <w:rPr>
          <w:b/>
          <w:bCs/>
          <w:i/>
          <w:iCs/>
        </w:rPr>
        <w:t>minus</w:t>
      </w:r>
      <w:r>
        <w:rPr/>
        <w:t xml:space="preserve"> </w:t>
      </w:r>
    </w:p>
    <w:p>
      <w:pPr>
        <w:pStyle w:val="CPNormal"/>
        <w:ind w:hanging="720" w:start="2160" w:end="0"/>
        <w:jc w:val="both"/>
        <w:rPr>
          <w:u w:val="single"/>
        </w:rPr>
      </w:pPr>
      <w:bookmarkStart w:id="179" w:name="_DV_M143"/>
      <w:bookmarkEnd w:id="179"/>
      <w:r>
        <w:rPr/>
        <w:t>(B)</w:t>
        <w:tab/>
        <w:t xml:space="preserve">the sum of (x) the U.S. Dollar Equivalent of the amount of Brazilian Reais in the GasMat Onshore Dollar Proxy Debt Service Payment Account on the GasMat Debt Service Payment Date; </w:t>
      </w:r>
      <w:r>
        <w:rPr>
          <w:b/>
          <w:bCs/>
          <w:i/>
          <w:iCs/>
        </w:rPr>
        <w:t>plus</w:t>
      </w:r>
    </w:p>
    <w:p>
      <w:pPr>
        <w:pStyle w:val="CPNormal"/>
        <w:numPr>
          <w:ilvl w:val="0"/>
          <w:numId w:val="0"/>
        </w:numPr>
        <w:ind w:hanging="0" w:start="2160" w:end="0"/>
        <w:jc w:val="both"/>
        <w:rPr>
          <w:u w:val="single"/>
        </w:rPr>
      </w:pPr>
      <w:bookmarkStart w:id="180" w:name="_DV_M144"/>
      <w:bookmarkEnd w:id="180"/>
      <w:r>
        <w:rPr/>
        <w:t>(y)</w:t>
        <w:tab/>
        <w:t>the aggregate amount of U.S. Dollars (without duplication of amounts applied pursuant to clauses (a)(i), (a)(ii), and (a)(iv)) held in the GasBol Offshore Debt Service Payment Account, the GasBol Offshore Distribution Account, the Cayco Offshore Distribution Accounts, the TBS Offshore Distribution Account, the TBS Shareholder Offshore Revenue Accounts, and the Cayco Offshore Debt Service Payment Accounts on such date then Available to be Applied to the payment of any due and unpaid Debt Service of GasMat pursuant to the terms of the Accounts Agreements;</w:t>
      </w:r>
    </w:p>
    <w:p>
      <w:pPr>
        <w:pStyle w:val="CPNormal"/>
        <w:numPr>
          <w:ilvl w:val="0"/>
          <w:numId w:val="16"/>
        </w:numPr>
        <w:tabs>
          <w:tab w:val="clear" w:pos="720"/>
        </w:tabs>
        <w:ind w:hanging="720" w:start="1440" w:end="0"/>
        <w:jc w:val="both"/>
        <w:rPr/>
      </w:pPr>
      <w:bookmarkStart w:id="181" w:name="_DV_M145"/>
      <w:bookmarkEnd w:id="181"/>
      <w:r>
        <w:rPr/>
        <w:t xml:space="preserve">in the case of any transfer of funds from the GasMat Onshore Dollar Proxy Operating Account (the date of such transfer being referred to as, the </w:t>
      </w:r>
      <w:r>
        <w:rPr>
          <w:b/>
          <w:bCs/>
          <w:i/>
          <w:iCs/>
        </w:rPr>
        <w:t>GasMat O&amp;M Payment Date</w:t>
      </w:r>
      <w:r>
        <w:rPr/>
        <w:t>) the difference (if greater than zero) of:</w:t>
      </w:r>
    </w:p>
    <w:p>
      <w:pPr>
        <w:pStyle w:val="CPNormal"/>
        <w:numPr>
          <w:ilvl w:val="0"/>
          <w:numId w:val="12"/>
        </w:numPr>
        <w:tabs>
          <w:tab w:val="clear" w:pos="720"/>
        </w:tabs>
        <w:ind w:hanging="720" w:start="2160" w:end="0"/>
        <w:jc w:val="both"/>
        <w:rPr/>
      </w:pPr>
      <w:bookmarkStart w:id="182" w:name="_DV_M146"/>
      <w:bookmarkEnd w:id="182"/>
      <w:r>
        <w:rPr/>
        <w:t xml:space="preserve">the U.S. Dollar Equivalent of the amount of Brazilian Reais in the GasMat Onshore Dollar Proxy Operating Account on the date that monies are transferred thereto from the GasMat Onshore Revenue Account (computed after the transfer); </w:t>
      </w:r>
      <w:r>
        <w:rPr>
          <w:b/>
          <w:bCs/>
          <w:i/>
          <w:iCs/>
        </w:rPr>
        <w:t>minus</w:t>
      </w:r>
      <w:r>
        <w:rPr/>
        <w:t xml:space="preserve"> </w:t>
      </w:r>
    </w:p>
    <w:p>
      <w:pPr>
        <w:pStyle w:val="CPNormal"/>
        <w:ind w:hanging="720" w:start="2160" w:end="0"/>
        <w:jc w:val="both"/>
        <w:rPr>
          <w:u w:val="single"/>
        </w:rPr>
      </w:pPr>
      <w:bookmarkStart w:id="183" w:name="_DV_M147"/>
      <w:bookmarkEnd w:id="183"/>
      <w:r>
        <w:rPr/>
        <w:t>(B)</w:t>
        <w:tab/>
        <w:t xml:space="preserve">the sum of (x) the U.S. Dollar Equivalent of the amount of Brazilian Reais in the GasMat Onshore Dollar Proxy Operating Account on the GasMat O&amp;M Payment Date; </w:t>
      </w:r>
      <w:r>
        <w:rPr>
          <w:b/>
          <w:bCs/>
          <w:i/>
          <w:iCs/>
        </w:rPr>
        <w:t>plus</w:t>
      </w:r>
    </w:p>
    <w:p>
      <w:pPr>
        <w:pStyle w:val="CPNormal"/>
        <w:ind w:hanging="0" w:start="2160" w:end="0"/>
        <w:jc w:val="both"/>
        <w:rPr>
          <w:b/>
          <w:bCs/>
        </w:rPr>
      </w:pPr>
      <w:bookmarkStart w:id="184" w:name="_DV_M148"/>
      <w:bookmarkEnd w:id="184"/>
      <w:r>
        <w:rPr/>
        <w:t>(y)</w:t>
        <w:tab/>
        <w:t>the aggregate amount (without duplication of amounts applied pursuant to clauses (a)(i), (a)(ii), and (a)(iii)) held in the GasBol Offshore Distribution Account, the Cayco Offshore Distribution Accounts, and the Cayco Offshore Operating Accounts on such date then Available to be Applied to the payment of any due and unpaid O&amp;M Costs of GasMat pursuant to the terms of the Accounts Agreements;</w:t>
      </w:r>
    </w:p>
    <w:p>
      <w:pPr>
        <w:pStyle w:val="CPNormal"/>
        <w:ind w:firstLine="720" w:end="0"/>
        <w:jc w:val="both"/>
        <w:rPr/>
      </w:pPr>
      <w:bookmarkStart w:id="185" w:name="_DV_M149"/>
      <w:bookmarkEnd w:id="185"/>
      <w:r>
        <w:rPr/>
        <w:t>(b)</w:t>
        <w:tab/>
        <w:t>Subject to Section 2.2(c), each of Enron Corp. and SOTL, severally (in the following proportions:  (i) Enron Corp. – 63.4% and (ii) SOTL – 36.6%), agrees to pay to the Common Agent (on behalf of the Secured Parties),</w:t>
      </w:r>
      <w:r>
        <w:rPr>
          <w:i/>
          <w:iCs/>
        </w:rPr>
        <w:t xml:space="preserve"> </w:t>
      </w:r>
      <w:r>
        <w:rPr/>
        <w:t xml:space="preserve">in U.S. Dollars, to such account or accounts as the Common Agent may designate, within five Business Days immediately following each Onshore Final Covered Date, such amount (each such amount, the </w:t>
      </w:r>
      <w:r>
        <w:rPr>
          <w:b/>
          <w:bCs/>
          <w:i/>
          <w:iCs/>
        </w:rPr>
        <w:t>Covered Onshore Final Amount</w:t>
      </w:r>
      <w:r>
        <w:rPr>
          <w:i/>
          <w:iCs/>
        </w:rPr>
        <w:t>)</w:t>
      </w:r>
      <w:r>
        <w:rPr/>
        <w:t xml:space="preserve"> that is the lesser of:</w:t>
      </w:r>
    </w:p>
    <w:p>
      <w:pPr>
        <w:pStyle w:val="CPNormal"/>
        <w:ind w:hanging="720" w:start="1440" w:end="0"/>
        <w:jc w:val="both"/>
        <w:rPr/>
      </w:pPr>
      <w:bookmarkStart w:id="186" w:name="_DV_M150"/>
      <w:bookmarkEnd w:id="186"/>
      <w:r>
        <w:rPr/>
        <w:t>(i)</w:t>
        <w:tab/>
        <w:t>the aggregate amount of Secured Obligations on such Onshore Final Covered Date; and</w:t>
      </w:r>
    </w:p>
    <w:p>
      <w:pPr>
        <w:pStyle w:val="CPNormal"/>
        <w:ind w:hanging="720" w:start="1440" w:end="0"/>
        <w:jc w:val="both"/>
        <w:rPr/>
      </w:pPr>
      <w:bookmarkStart w:id="187" w:name="_DV_M151"/>
      <w:bookmarkEnd w:id="187"/>
      <w:r>
        <w:rPr/>
        <w:t>(ii)</w:t>
        <w:tab/>
        <w:t>the difference (if greater than zero) of:</w:t>
      </w:r>
    </w:p>
    <w:p>
      <w:pPr>
        <w:pStyle w:val="CPNormal"/>
        <w:numPr>
          <w:ilvl w:val="0"/>
          <w:numId w:val="6"/>
        </w:numPr>
        <w:tabs>
          <w:tab w:val="clear" w:pos="720"/>
          <w:tab w:val="left" w:pos="2160" w:leader="none"/>
        </w:tabs>
        <w:ind w:hanging="720" w:start="2160" w:end="0"/>
        <w:jc w:val="both"/>
        <w:rPr/>
      </w:pPr>
      <w:bookmarkStart w:id="188" w:name="_DV_M152"/>
      <w:bookmarkEnd w:id="188"/>
      <w:r>
        <w:rPr/>
        <w:t xml:space="preserve">the U.S. Dollar Equivalent of the amount of Brazilian Reais in the Brazilian Onshore Dollar Proxy Accounts on the date or dates that money was deposited therein; </w:t>
      </w:r>
      <w:r>
        <w:rPr>
          <w:b/>
          <w:bCs/>
          <w:i/>
          <w:iCs/>
        </w:rPr>
        <w:t>minus</w:t>
      </w:r>
    </w:p>
    <w:p>
      <w:pPr>
        <w:pStyle w:val="CPNormal"/>
        <w:numPr>
          <w:ilvl w:val="0"/>
          <w:numId w:val="6"/>
        </w:numPr>
        <w:tabs>
          <w:tab w:val="clear" w:pos="720"/>
          <w:tab w:val="left" w:pos="2160" w:leader="none"/>
        </w:tabs>
        <w:ind w:hanging="720" w:start="2160" w:end="0"/>
        <w:jc w:val="both"/>
        <w:rPr/>
      </w:pPr>
      <w:bookmarkStart w:id="189" w:name="_DV_M153"/>
      <w:bookmarkEnd w:id="189"/>
      <w:r>
        <w:rPr/>
        <w:t>the U.S. Dollar Equivalent of the amount of Brazilian Reais in the Brazilian Onshore Dollar Proxy Accounts on the Onshore Final Covered Date.</w:t>
      </w:r>
    </w:p>
    <w:p>
      <w:pPr>
        <w:pStyle w:val="CPNormal"/>
        <w:ind w:firstLine="720" w:end="0"/>
        <w:jc w:val="both"/>
        <w:rPr/>
      </w:pPr>
      <w:bookmarkStart w:id="190" w:name="_DV_M154"/>
      <w:bookmarkEnd w:id="190"/>
      <w:r>
        <w:rPr/>
        <w:t>(c)</w:t>
        <w:tab/>
        <w:t>Notwithstanding anything to the contrary in this Agreement:</w:t>
      </w:r>
    </w:p>
    <w:p>
      <w:pPr>
        <w:pStyle w:val="CPNormal"/>
        <w:ind w:hanging="720" w:start="1440" w:end="0"/>
        <w:jc w:val="both"/>
        <w:rPr/>
      </w:pPr>
      <w:bookmarkStart w:id="191" w:name="_DV_M155"/>
      <w:bookmarkEnd w:id="191"/>
      <w:r>
        <w:rPr/>
        <w:t>(i)</w:t>
        <w:tab/>
        <w:t xml:space="preserve">on any Onshore Ongoing Covered Date, the Covered Onshore Ongoing Amount shall in no event exceed an amount equal to the difference (if greater than zero) of (A) U.S.$12,000,000, </w:t>
      </w:r>
      <w:r>
        <w:rPr>
          <w:b/>
          <w:bCs/>
          <w:i/>
          <w:iCs/>
        </w:rPr>
        <w:t>minus</w:t>
      </w:r>
      <w:r>
        <w:rPr/>
        <w:t xml:space="preserve"> (B) the aggregate amount paid by the Sponsors in accordance with the terms of this Agreement in respect of Covered Onshore Ongoing Amounts in the consecutive 12 month period ending on such Onshore Ongoing Covered Date;</w:t>
      </w:r>
    </w:p>
    <w:p>
      <w:pPr>
        <w:pStyle w:val="CPNormal"/>
        <w:ind w:hanging="720" w:start="1440" w:end="0"/>
        <w:jc w:val="both"/>
        <w:rPr/>
      </w:pPr>
      <w:bookmarkStart w:id="192" w:name="_DV_M156"/>
      <w:bookmarkEnd w:id="192"/>
      <w:r>
        <w:rPr/>
        <w:t>(ii)</w:t>
        <w:tab/>
        <w:t xml:space="preserve">on any Onshore Final Covered Date, the Covered Onshore Final Amount shall in no event exceed an amount equal to U.S.$405,000,000; </w:t>
      </w:r>
      <w:r>
        <w:rPr>
          <w:b/>
          <w:bCs/>
          <w:i/>
          <w:iCs/>
        </w:rPr>
        <w:t xml:space="preserve">provided </w:t>
      </w:r>
      <w:r>
        <w:rPr/>
        <w:t xml:space="preserve">that payment under this Agreement with respect to an Onshore Ongoing Covered Date of the kind described in clause (c)(i) above shall not be counted for purposes of determining the limitation of liability set forth in this clause (c)(ii); and </w:t>
      </w:r>
    </w:p>
    <w:p>
      <w:pPr>
        <w:pStyle w:val="CPNormal"/>
        <w:ind w:hanging="720" w:start="1440" w:end="0"/>
        <w:jc w:val="both"/>
        <w:rPr/>
      </w:pPr>
      <w:bookmarkStart w:id="193" w:name="_DV_M157"/>
      <w:bookmarkEnd w:id="193"/>
      <w:r>
        <w:rPr/>
        <w:t>(iii)</w:t>
        <w:tab/>
        <w:t xml:space="preserve">each Sponsor's obligation to make payments pursuant to this Section 2.2 is expressly subject to the condition that, within 90 days following the Onshore Ongoing Covered Date or the Onshore Final Covered Date that would give rise to such payment, EPE or GasMat (whether at the request of the Lenders or otherwise), the Lenders, or the Brazilian Collateral Agent request the Brazilian Central Bank, in writing and in compliance with the rules and regulations of the Brazilian Central Bank, to authorize EPE or GasMat, as applicable, to effect an Applicable Conversion and Transfer, such condition not to be applicable if the Brazilian Central Bank has already denied a request previously submitted for the same purpose within the 10 day period immediately prior to or immediately following such Covered Date; </w:t>
      </w:r>
      <w:r>
        <w:rPr>
          <w:b/>
          <w:bCs/>
          <w:i/>
          <w:iCs/>
        </w:rPr>
        <w:t>provided</w:t>
      </w:r>
      <w:r>
        <w:rPr/>
        <w:t xml:space="preserve">, </w:t>
      </w:r>
      <w:r>
        <w:rPr>
          <w:b/>
          <w:bCs/>
          <w:i/>
          <w:iCs/>
        </w:rPr>
        <w:t>however</w:t>
      </w:r>
      <w:r>
        <w:rPr/>
        <w:t xml:space="preserve">, that in the event that there are no rules or regulations in place relating to the form or substance of such request(s) or if the requirements of the applicable rules and regulations render compliance unreasonably difficult, unreasonably expensive, or impossible, EPE, GasMat, the Lenders or the Brazilian Collateral Agent (as the case may be) shall be required only to take steps which would normally be taken to obtain an Applicable Conversion and Transfer that is not subject to pre-approval; </w:t>
      </w:r>
      <w:r>
        <w:rPr>
          <w:b/>
          <w:bCs/>
          <w:i/>
          <w:iCs/>
        </w:rPr>
        <w:t>provided</w:t>
      </w:r>
      <w:r>
        <w:rPr>
          <w:i/>
          <w:iCs/>
        </w:rPr>
        <w:t xml:space="preserve"> </w:t>
      </w:r>
      <w:r>
        <w:rPr>
          <w:b/>
          <w:bCs/>
          <w:i/>
          <w:iCs/>
        </w:rPr>
        <w:t>further</w:t>
      </w:r>
      <w:r>
        <w:rPr/>
        <w:t xml:space="preserve"> that, notwithstanding the foregoing, if, with respect to any Onshore Final Covered Date or Onshore Ongoing Covered Date, the Brazilian Central Bank does not respond to a request for an Applicable Conversion and Transfer within 180 days after such date (the </w:t>
      </w:r>
      <w:r>
        <w:rPr>
          <w:b/>
          <w:bCs/>
          <w:i/>
          <w:iCs/>
        </w:rPr>
        <w:t>Onshore Account No Response Date</w:t>
      </w:r>
      <w:r>
        <w:rPr/>
        <w:t xml:space="preserve">) or rejects all or part of the requested Applicable Conversion and Transfer (the date of notification to the Sponsors of such rejection, a </w:t>
      </w:r>
      <w:r>
        <w:rPr>
          <w:b/>
          <w:bCs/>
          <w:i/>
          <w:iCs/>
        </w:rPr>
        <w:t>Onshore Account Rejection Date</w:t>
      </w:r>
      <w:r>
        <w:rPr/>
        <w:t xml:space="preserve">), then each Sponsor shall pay the amount due by it in respect of the applicable Covered Onshore Ongoing  Amount or Covered Onshore Final Amount (as the case may be) within five Business Days following such Onshore Account No Response Date or Onshore Account Rejection Date (as the case may be); </w:t>
      </w:r>
    </w:p>
    <w:p>
      <w:pPr>
        <w:pStyle w:val="CPNormal"/>
        <w:ind w:hanging="720" w:start="1440" w:end="0"/>
        <w:jc w:val="both"/>
        <w:rPr/>
      </w:pPr>
      <w:bookmarkStart w:id="194" w:name="_DV_M158"/>
      <w:bookmarkEnd w:id="194"/>
      <w:r>
        <w:rPr/>
        <w:t>(iv)</w:t>
        <w:tab/>
        <w:t>on any Onshore Final Covered Date, subject to Section 2.2(c)(ii), the Covered Onshore Final Amount shall be increased by an amount equal to the difference (if greater than zero) of:</w:t>
      </w:r>
    </w:p>
    <w:p>
      <w:pPr>
        <w:pStyle w:val="CPNormal"/>
        <w:jc w:val="both"/>
        <w:rPr/>
      </w:pPr>
      <w:bookmarkStart w:id="195" w:name="_DV_M159"/>
      <w:bookmarkEnd w:id="195"/>
      <w:r>
        <w:rPr/>
        <w:t>(A)</w:t>
        <w:tab/>
        <w:t xml:space="preserve">the product of: </w:t>
      </w:r>
    </w:p>
    <w:p>
      <w:pPr>
        <w:pStyle w:val="CPNormal"/>
        <w:ind w:hanging="720" w:start="2880" w:end="0"/>
        <w:jc w:val="both"/>
        <w:rPr/>
      </w:pPr>
      <w:bookmarkStart w:id="196" w:name="_DV_M160"/>
      <w:bookmarkEnd w:id="196"/>
      <w:r>
        <w:rPr/>
        <w:t>(1)</w:t>
        <w:tab/>
        <w:t xml:space="preserve">the average rate of return earned on U.S. Dollars held in the Cayco Accounts and invested in Permitted U.S. Investments during the period commencing on the date on which (x) the proceeds of such sale or other disposal of the Collateral or (y) the amount of such payment under Paragraph 1 or 2 of Clause 35 of the Power Purchase Agreement, in either case are deposited into the EPE Onshore Dollar Proxy Debt Service Payment Account, the EPE Onshore Dollar Proxy Operating Account, the GasMat Onshore Dollar Proxy Debt Service Payment Account, and/or the GasMat Onshore Dollar Proxy Operating Account, as the case may be, from the Onshore Revenue Account of EPE or GasMat, as applicable, and ending on the Onshore Final Covered Date, </w:t>
      </w:r>
      <w:r>
        <w:rPr>
          <w:b/>
          <w:bCs/>
          <w:i/>
          <w:iCs/>
        </w:rPr>
        <w:t>multiplied by</w:t>
      </w:r>
    </w:p>
    <w:p>
      <w:pPr>
        <w:pStyle w:val="CPNormal"/>
        <w:ind w:hanging="720" w:start="2880" w:end="0"/>
        <w:jc w:val="both"/>
        <w:rPr/>
      </w:pPr>
      <w:bookmarkStart w:id="197" w:name="_DV_M161"/>
      <w:bookmarkEnd w:id="197"/>
      <w:r>
        <w:rPr/>
        <w:t>(2)</w:t>
        <w:tab/>
        <w:t xml:space="preserve">the U.S. Dollar Equivalent of the aggregate amount held in the Brazilian Onshore Dollar Proxy Accounts on the  Onshore Final Covered Date; </w:t>
      </w:r>
      <w:r>
        <w:rPr>
          <w:b/>
          <w:bCs/>
          <w:i/>
          <w:iCs/>
        </w:rPr>
        <w:t>minus</w:t>
      </w:r>
    </w:p>
    <w:p>
      <w:pPr>
        <w:pStyle w:val="CPNormal"/>
        <w:jc w:val="both"/>
        <w:rPr/>
      </w:pPr>
      <w:bookmarkStart w:id="198" w:name="_DV_M162"/>
      <w:bookmarkEnd w:id="198"/>
      <w:r>
        <w:rPr/>
        <w:t>(B)</w:t>
        <w:tab/>
        <w:t xml:space="preserve">the U.S. Dollar Equivalent of the product of: </w:t>
      </w:r>
    </w:p>
    <w:p>
      <w:pPr>
        <w:pStyle w:val="CPNormal"/>
        <w:numPr>
          <w:ilvl w:val="1"/>
          <w:numId w:val="2"/>
        </w:numPr>
        <w:tabs>
          <w:tab w:val="clear" w:pos="720"/>
          <w:tab w:val="left" w:pos="2880" w:leader="none"/>
        </w:tabs>
        <w:ind w:hanging="720" w:start="2880" w:end="0"/>
        <w:jc w:val="both"/>
        <w:rPr/>
      </w:pPr>
      <w:bookmarkStart w:id="199" w:name="_DV_M163"/>
      <w:bookmarkEnd w:id="199"/>
      <w:r>
        <w:rPr/>
        <w:t xml:space="preserve">the average rate of return/yield earned on Brazilian Reais held in the Brazilian Onshore Dollar Proxy Accounts of EPE and GasMat and invested in Permitted Brazilian Investments during the period referenced in the foregoing clause (iv)(A)(1); </w:t>
      </w:r>
      <w:r>
        <w:rPr>
          <w:b/>
          <w:bCs/>
          <w:i/>
          <w:iCs/>
        </w:rPr>
        <w:t>multiplied by</w:t>
      </w:r>
      <w:r>
        <w:rPr/>
        <w:t xml:space="preserve"> </w:t>
      </w:r>
    </w:p>
    <w:p>
      <w:pPr>
        <w:pStyle w:val="CPNormal"/>
        <w:numPr>
          <w:ilvl w:val="1"/>
          <w:numId w:val="2"/>
        </w:numPr>
        <w:tabs>
          <w:tab w:val="clear" w:pos="720"/>
          <w:tab w:val="left" w:pos="2880" w:leader="none"/>
        </w:tabs>
        <w:ind w:hanging="720" w:start="2880" w:end="0"/>
        <w:jc w:val="both"/>
        <w:rPr/>
      </w:pPr>
      <w:bookmarkStart w:id="200" w:name="_DV_M164"/>
      <w:bookmarkEnd w:id="200"/>
      <w:r>
        <w:rPr/>
        <w:t>the aggregate amount held in the Brazilian Onshore Dollar Proxy Accounts on the applicable Onshore Final Covered Date.</w:t>
      </w:r>
    </w:p>
    <w:p>
      <w:pPr>
        <w:pStyle w:val="CPNormal"/>
        <w:ind w:firstLine="720" w:end="0"/>
        <w:jc w:val="both"/>
        <w:rPr/>
      </w:pPr>
      <w:bookmarkStart w:id="201" w:name="_DV_M165"/>
      <w:bookmarkEnd w:id="201"/>
      <w:r>
        <w:rPr/>
        <w:t>(d)</w:t>
        <w:tab/>
        <w:t>Each of EPE and GasMat hereby agrees that within five Business Days following the request of the Lenders or the Brazilian Collateral Agent, it will request the authorization of the Brazilian Central Bank referred to in Section 2.2(c)(iii) if EPE or GasMat, as applicable, is permitted to do so under Applicable Law.</w:t>
      </w:r>
    </w:p>
    <w:p>
      <w:pPr>
        <w:pStyle w:val="CPNormal"/>
        <w:ind w:firstLine="720" w:end="0"/>
        <w:jc w:val="both"/>
        <w:rPr/>
      </w:pPr>
      <w:bookmarkStart w:id="202" w:name="_DV_M166"/>
      <w:bookmarkEnd w:id="202"/>
      <w:r>
        <w:rPr/>
        <w:t>(e)</w:t>
        <w:tab/>
        <w:t>Upon payment by any Sponsor of any amount under this Section 2.2, the Secured Parties shall assign to each Sponsor the right to receive repayment from EPE or GasMat, as the case may be, under existing Brazilian Central Bank authorizations in favor of such Secured Parties in an amount equal to the amount advanced by such Sponsor under this Section 2.2.  The Secured Parties shall provide such notices and make such filings as are required by the Brazilian Central Bank or otherwise reasonably requested by the Sponsors to effect such assignment of credits.  All amounts payable by EPE or GasMat, as the case may be, shall thereafter constitute Subordinated Debt of EPE or GasMat, as applicable, shall be payable directly to such Sponsor, and shall be subject to the same terms and conditions as Shareholder Senior Subordinated Debt.</w:t>
      </w:r>
    </w:p>
    <w:p>
      <w:pPr>
        <w:pStyle w:val="Heading3"/>
        <w:ind w:hanging="0" w:start="0"/>
        <w:rPr/>
      </w:pPr>
      <w:bookmarkStart w:id="203" w:name="__RefHeading___Toc495746138"/>
      <w:bookmarkStart w:id="204" w:name="_DV_M167"/>
      <w:bookmarkEnd w:id="203"/>
      <w:bookmarkEnd w:id="204"/>
      <w:r>
        <w:rPr/>
        <w:t>2.3</w:t>
        <w:tab/>
        <w:t>Obligations Absolute and Unconditional.</w:t>
      </w:r>
    </w:p>
    <w:p>
      <w:pPr>
        <w:pStyle w:val="a"/>
        <w:ind w:hanging="0" w:start="0" w:end="0"/>
        <w:rPr/>
      </w:pPr>
      <w:bookmarkStart w:id="205" w:name="_DV_M168"/>
      <w:bookmarkEnd w:id="205"/>
      <w:r>
        <w:rPr/>
        <w:t xml:space="preserve">The obligations of the Sponsors under this Agreement are absolute and unconditional, irrespective of the value, genuineness, validity, regularity, or enforceability of the obligations of the Borrowers under this Agreement, any Financing Document, or any other agreement or instrument referred to herein or therein (collectively, the </w:t>
      </w:r>
      <w:r>
        <w:rPr>
          <w:b/>
          <w:bCs/>
          <w:i/>
          <w:iCs/>
        </w:rPr>
        <w:t>Borrower Obligations</w:t>
      </w:r>
      <w:r>
        <w:rPr/>
        <w:t>), and, to the fullest extent permitted by Applicable Law, irrespective of any other circumstance whatsoever that might otherwise constitute a legal or equitable discharge or defense of a surety or guarantor, it being the intent of this Section 2.3 that the obligation of the Sponsors hereunder shall be absolute and unconditional under any and all circumstances.  Without limiting the generality of the foregoing, it is agreed that despite the occurrence or non-occurrence of any one or more of the following, the liability of each Sponsor hereunder shall remain absolute and unconditional as described above:</w:t>
      </w:r>
    </w:p>
    <w:p>
      <w:pPr>
        <w:pStyle w:val="i"/>
        <w:tabs>
          <w:tab w:val="clear" w:pos="1296"/>
        </w:tabs>
        <w:ind w:hanging="720" w:end="0"/>
        <w:rPr/>
      </w:pPr>
      <w:bookmarkStart w:id="206" w:name="_DV_M169"/>
      <w:bookmarkEnd w:id="206"/>
      <w:r>
        <w:rPr/>
        <w:t>(a)</w:t>
        <w:tab/>
        <w:t>at any time or from time to time, without notice to the Sponsors, the time for any performance of or compliance with the Borrower Obligations shall be extended, or such performance or compliance shall be waived;</w:t>
      </w:r>
    </w:p>
    <w:p>
      <w:pPr>
        <w:pStyle w:val="i"/>
        <w:tabs>
          <w:tab w:val="clear" w:pos="1296"/>
        </w:tabs>
        <w:ind w:hanging="720" w:end="0"/>
        <w:rPr/>
      </w:pPr>
      <w:bookmarkStart w:id="207" w:name="_DV_M170"/>
      <w:bookmarkEnd w:id="207"/>
      <w:r>
        <w:rPr/>
        <w:t>(b)</w:t>
        <w:tab/>
        <w:t>any of the acts mentioned in any of the provisions of this Agreement or any other agreement or instrument referred to herein shall be done or omitted;</w:t>
      </w:r>
    </w:p>
    <w:p>
      <w:pPr>
        <w:pStyle w:val="i"/>
        <w:tabs>
          <w:tab w:val="clear" w:pos="1296"/>
        </w:tabs>
        <w:ind w:hanging="720" w:end="0"/>
        <w:rPr/>
      </w:pPr>
      <w:bookmarkStart w:id="208" w:name="_DV_M171"/>
      <w:bookmarkEnd w:id="208"/>
      <w:r>
        <w:rPr/>
        <w:t>(c)</w:t>
        <w:tab/>
        <w:t>the Borrower Obligations shall be modified, supplemented, or amended in any respect, or any right under this Agreement or any other agreement or instrument referred to herein shall be waived or any security for the Borrower Obligations shall be released or exchanged in whole or in part or otherwise dealt with;</w:t>
      </w:r>
    </w:p>
    <w:p>
      <w:pPr>
        <w:pStyle w:val="i"/>
        <w:tabs>
          <w:tab w:val="clear" w:pos="1296"/>
        </w:tabs>
        <w:ind w:hanging="720" w:end="0"/>
        <w:rPr/>
      </w:pPr>
      <w:bookmarkStart w:id="209" w:name="_DV_M172"/>
      <w:bookmarkEnd w:id="209"/>
      <w:r>
        <w:rPr/>
        <w:t>(d)</w:t>
        <w:tab/>
        <w:t>any Lien or security interest granted to, or in favor of, any Secured Party as security for the Borrower Obligations shall fail to be perfected;</w:t>
      </w:r>
    </w:p>
    <w:p>
      <w:pPr>
        <w:pStyle w:val="i"/>
        <w:tabs>
          <w:tab w:val="clear" w:pos="1296"/>
        </w:tabs>
        <w:ind w:hanging="720" w:end="0"/>
        <w:rPr/>
      </w:pPr>
      <w:bookmarkStart w:id="210" w:name="_DV_M173"/>
      <w:bookmarkEnd w:id="210"/>
      <w:r>
        <w:rPr/>
        <w:t>(e)</w:t>
        <w:tab/>
        <w:t>the bankruptcy, dissolution, liquidation, or winding up of any Borrower;</w:t>
      </w:r>
    </w:p>
    <w:p>
      <w:pPr>
        <w:pStyle w:val="i"/>
        <w:tabs>
          <w:tab w:val="clear" w:pos="1296"/>
        </w:tabs>
        <w:ind w:hanging="720" w:end="0"/>
        <w:rPr/>
      </w:pPr>
      <w:bookmarkStart w:id="211" w:name="_DV_M174"/>
      <w:bookmarkEnd w:id="211"/>
      <w:r>
        <w:rPr/>
        <w:t>(f)</w:t>
        <w:tab/>
        <w:t>the existence of any condition that adversely affects the value of the Project or the ability of any Borrower to use the Project for the purposes contemplated by the Operative Documents;</w:t>
      </w:r>
    </w:p>
    <w:p>
      <w:pPr>
        <w:pStyle w:val="i"/>
        <w:tabs>
          <w:tab w:val="clear" w:pos="1296"/>
        </w:tabs>
        <w:ind w:hanging="720" w:end="0"/>
        <w:rPr/>
      </w:pPr>
      <w:bookmarkStart w:id="212" w:name="_DV_M175"/>
      <w:bookmarkEnd w:id="212"/>
      <w:r>
        <w:rPr/>
        <w:t>(g)</w:t>
        <w:tab/>
        <w:t>the exercise, non-exercise, or delay in exercising, by any Borrower, the Common Agent, or any other Secured Party of any of their rights and remedies under this Agreement or any other Financing Document;</w:t>
      </w:r>
    </w:p>
    <w:p>
      <w:pPr>
        <w:pStyle w:val="i"/>
        <w:tabs>
          <w:tab w:val="clear" w:pos="1296"/>
        </w:tabs>
        <w:ind w:hanging="720" w:end="0"/>
        <w:rPr/>
      </w:pPr>
      <w:bookmarkStart w:id="213" w:name="_DV_M176"/>
      <w:bookmarkEnd w:id="213"/>
      <w:r>
        <w:rPr/>
        <w:t>(h)</w:t>
        <w:tab/>
        <w:t>any assignment or other transfer of this Agreement by the Common Agent or the Lenders, or any assignment or other transfer of any Operative Document in whole or in part (other than to the extent such Sponsor is discharged or released through a Permitted Third Party Transfer (as defined in the Equity Contribution Agreement));</w:t>
      </w:r>
    </w:p>
    <w:p>
      <w:pPr>
        <w:pStyle w:val="i"/>
        <w:tabs>
          <w:tab w:val="clear" w:pos="1296"/>
        </w:tabs>
        <w:ind w:hanging="720" w:end="0"/>
        <w:rPr/>
      </w:pPr>
      <w:bookmarkStart w:id="214" w:name="_DV_M177"/>
      <w:bookmarkEnd w:id="214"/>
      <w:r>
        <w:rPr/>
        <w:t>(i)</w:t>
        <w:tab/>
        <w:t>the transfer of the Project or any portion thereof or any other Collateral or any bid or purchase at any sale of the Project or the Collateral, or any consent to any of the foregoing; or</w:t>
      </w:r>
    </w:p>
    <w:p>
      <w:pPr>
        <w:pStyle w:val="i"/>
        <w:tabs>
          <w:tab w:val="clear" w:pos="1296"/>
        </w:tabs>
        <w:ind w:hanging="720" w:end="0"/>
        <w:rPr/>
      </w:pPr>
      <w:bookmarkStart w:id="215" w:name="_DV_M178"/>
      <w:bookmarkEnd w:id="215"/>
      <w:r>
        <w:rPr/>
        <w:t>(j)</w:t>
        <w:tab/>
        <w:t>the existence, value of, condition of, or failure to perfect any Lien against, any security for the Secured Obligations or any action, or the absence of any action by any Borrower, or any Secured Party in respect thereof (including, without limitation, the release of any such security).</w:t>
      </w:r>
    </w:p>
    <w:p>
      <w:pPr>
        <w:pStyle w:val="Heading3"/>
        <w:ind w:hanging="0" w:start="0"/>
        <w:rPr/>
      </w:pPr>
      <w:bookmarkStart w:id="216" w:name="__RefHeading___Toc495746139"/>
      <w:bookmarkStart w:id="217" w:name="_DV_M179"/>
      <w:bookmarkEnd w:id="216"/>
      <w:bookmarkEnd w:id="217"/>
      <w:r>
        <w:rPr/>
        <w:t>2.4</w:t>
        <w:tab/>
        <w:t>Waivers.</w:t>
      </w:r>
    </w:p>
    <w:p>
      <w:pPr>
        <w:pStyle w:val="BodyText"/>
        <w:rPr/>
      </w:pPr>
      <w:bookmarkStart w:id="218" w:name="_DV_M180"/>
      <w:bookmarkEnd w:id="218"/>
      <w:r>
        <w:rPr/>
        <w:t xml:space="preserve">In addition to the waivers of defenses referred to in Section 2.3, until such time as this Agreement has terminated in accordance with Section 7.2, each Sponsor hereby expressly waives: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pPr>
      <w:bookmarkStart w:id="219" w:name="_DV_M181"/>
      <w:bookmarkEnd w:id="219"/>
      <w:r>
        <w:rPr>
          <w:rFonts w:cs="Times New Roman" w:ascii="Times New Roman" w:hAnsi="Times New Roman"/>
        </w:rPr>
        <w:t>(a)</w:t>
      </w:r>
      <w:r>
        <w:rPr>
          <w:rFonts w:cs="Times New Roman" w:ascii="Times New Roman" w:hAnsi="Times New Roman"/>
          <w:b/>
          <w:bCs/>
        </w:rPr>
        <w:tab/>
      </w:r>
      <w:r>
        <w:rPr>
          <w:rFonts w:cs="Times New Roman" w:ascii="Times New Roman" w:hAnsi="Times New Roman"/>
        </w:rPr>
        <w:t>diligence, presentment, demand of payment, protest, and all notices whatsoever (whether for nonpayment or protest of acceptance, maturity, extension of time, change in nature or form of the Secured Obligations, acceptance of security, release of security, composition, or agreement arrived at as to the amount of, or the terms of, the Borrower Obligations, Secured Obligations, and all other demands whatsoever), and any requirement that any Secured Party exhaust any right, power, or remedy to proceed against any Borrower or the other Sponsor under this Agreement or any other party or any other agreement or instrument referred to herein;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bookmarkStart w:id="220" w:name="_DV_M182"/>
      <w:bookmarkEnd w:id="220"/>
      <w:r>
        <w:rPr>
          <w:rFonts w:cs="Times New Roman" w:ascii="Times New Roman" w:hAnsi="Times New Roman"/>
        </w:rPr>
        <w:t>(b)</w:t>
        <w:tab/>
        <w:t>to the extent permitted by Applicable Law, the benefits of Applicable Law which are in conflict with the terms of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bookmarkStart w:id="221" w:name="_DV_M183"/>
      <w:bookmarkEnd w:id="221"/>
      <w:r>
        <w:rPr>
          <w:rFonts w:cs="Times New Roman" w:ascii="Times New Roman" w:hAnsi="Times New Roman"/>
        </w:rPr>
        <w:t>(c)</w:t>
        <w:tab/>
        <w:t xml:space="preserve">all rights of subrogation or contribution, whether arising by contract or operation of law (including any such right arising under the Bankruptcy Laws) or otherwise by reason of any payment by it pursuant to the provisions of this Article 2 except as otherwise expressly set forth in this Agreement;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bookmarkStart w:id="222" w:name="_DV_M184"/>
      <w:bookmarkEnd w:id="222"/>
      <w:r>
        <w:rPr>
          <w:rFonts w:cs="Times New Roman" w:ascii="Times New Roman" w:hAnsi="Times New Roman"/>
        </w:rPr>
        <w:t>(d)</w:t>
        <w:tab/>
        <w:t>and agrees that it shall not at any time insist upon, plead, or in any manner whatsoever claim or take the benefit or advantage of, any appraisal, valuation, stay, extension, marshaling of assets or redemption laws, or exemption, whether now or at any time hereafter in force, which may delay, prevent, or otherwise affect the performance by such Sponsor of its obligations under, or the enforcement of this Agreement by any Secured Party or by the Common Agent on behalf of the Secured Parties;</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bookmarkStart w:id="223" w:name="_DV_M185"/>
      <w:bookmarkEnd w:id="223"/>
      <w:r>
        <w:rPr>
          <w:rFonts w:cs="Times New Roman" w:ascii="Times New Roman" w:hAnsi="Times New Roman"/>
        </w:rPr>
        <w:t>(e)</w:t>
        <w:tab/>
        <w:t>except to the extent expressly provided in Section 2.1(c) and 2.2(e), (i) any rights to seek any reimbursement from any Borrower in respect of payment made by the Sponsor hereunder, and (ii) any claim, counterclaim, or set off which it may have against any Borrower and the right to exercise any rights or remedies or commence any proceedings with respect thereto;</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bookmarkStart w:id="224" w:name="_DV_M186"/>
      <w:bookmarkEnd w:id="224"/>
      <w:r>
        <w:rPr>
          <w:rFonts w:cs="Times New Roman" w:ascii="Times New Roman" w:hAnsi="Times New Roman"/>
        </w:rPr>
        <w:t>(f)</w:t>
        <w:tab/>
        <w:t>any right to require the Common Agent to proceed against any other party at any time, to proceed against or exhaust the Collateral or any other security held by any Secured Party at any time, to pursue any other remedy whatsoever at any time;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bookmarkStart w:id="225" w:name="_DV_M187"/>
      <w:bookmarkEnd w:id="225"/>
      <w:r>
        <w:rPr>
          <w:rFonts w:cs="Times New Roman" w:ascii="Times New Roman" w:hAnsi="Times New Roman"/>
        </w:rPr>
        <w:t>(g)</w:t>
        <w:tab/>
        <w:t>any defense based upon an election of remedies by the Common Agent, including any election to proceed by judicial or nonjudicial foreclosure of the Collateral or any security, whether real property or personal property security, or by deed in lieu thereof, and whether or not every aspect of any foreclosure sale is commercially reasonable, or any election of remedies relating to real property or personal property security that destroy or otherwise impair the rights of such Sponsor against any Borrower, or any other guarantor for reimbursement, or both;</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pPr>
      <w:bookmarkStart w:id="226" w:name="_DV_M188"/>
      <w:bookmarkEnd w:id="226"/>
      <w:r>
        <w:rPr>
          <w:rFonts w:cs="Times New Roman" w:ascii="Times New Roman" w:hAnsi="Times New Roman"/>
        </w:rPr>
        <w:t>(h)</w:t>
        <w:tab/>
        <w:t>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rFonts w:cs="Times New Roman" w:ascii="Times New Roman" w:hAnsi="Times New Roman"/>
          <w:b/>
          <w:bCs/>
          <w:i/>
          <w:iCs/>
        </w:rPr>
        <w:t>Bankruptcy Laws</w:t>
      </w:r>
      <w:r>
        <w:rPr>
          <w:rFonts w:cs="Times New Roman" w:ascii="Times New Roman" w:hAnsi="Times New Roman"/>
        </w:rPr>
        <w:t xml:space="preserve">) in the event of any voluntary or involuntary bankruptcy, insolvency, reorganization, liquidation, or arrangement proceeding, or similar proceeding or case with respect to any Borrower (a </w:t>
      </w:r>
      <w:r>
        <w:rPr>
          <w:rFonts w:cs="Times New Roman" w:ascii="Times New Roman" w:hAnsi="Times New Roman"/>
          <w:b/>
          <w:bCs/>
          <w:i/>
          <w:iCs/>
        </w:rPr>
        <w:t>Bankruptcy</w:t>
      </w:r>
      <w:r>
        <w:rPr>
          <w:rFonts w:cs="Times New Roman" w:ascii="Times New Roman" w:hAnsi="Times New Roman"/>
          <w:i/>
          <w:iCs/>
        </w:rPr>
        <w:t>).</w:t>
      </w:r>
      <w:r>
        <w:rPr>
          <w:rFonts w:cs="Times New Roman" w:ascii="Times New Roman" w:hAnsi="Times New Roman"/>
        </w:rPr>
        <w:t xml:space="preserve"> Specifically, in the event that the trustee in bankruptcy,  administrator, receiver, liquidator, the debtor-in-possession, or similar party takes any action (including without limitation, the institution of any action, suit, or other proceeding in a Bankruptcy for the purpose of enforcing the obligations of any Borrower under this Agreement), neither Sponsor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Sponsor agrees, after the occurrence of the Bankruptcy, to reconfirm in writing, to the extent permitted by applicable law, its pre-Bankruptcy waiver of any protection it may be entitled to under Bankruptcy Laws and, to give effect to such waiver, such Sponsor consents to the assumption and enforcement and each provision of this Agreement (except to the extent that the obligation of such Sponsor in such provision has already been performed) by the debtor-in-possession or the relevant Borrower's trustee in bankruptcy, administrator, receiver, liquidator, or similar party, as the case may be; and</w:t>
      </w:r>
    </w:p>
    <w:p>
      <w:pPr>
        <w:pStyle w:val="BodyText"/>
        <w:ind w:hanging="720" w:start="1440" w:end="0"/>
        <w:rPr/>
      </w:pPr>
      <w:bookmarkStart w:id="227" w:name="_DV_M189"/>
      <w:bookmarkEnd w:id="227"/>
      <w:r>
        <w:rPr/>
        <w:t>(i)</w:t>
        <w:tab/>
        <w:t>to the extent applicable, and in such case to the fullest extent permitted by Applicable Law, the privileges and benefits set forth in Articles 1491, 1498, 1499, 1500, 1502, 1503 and 1504 of the Brazilian Civil Code and Article 262 of the Brazilian Commercial Code.</w:t>
      </w:r>
    </w:p>
    <w:p>
      <w:pPr>
        <w:pStyle w:val="Heading3"/>
        <w:ind w:hanging="0" w:start="0"/>
        <w:rPr/>
      </w:pPr>
      <w:bookmarkStart w:id="228" w:name="__RefHeading___Toc495746140"/>
      <w:bookmarkStart w:id="229" w:name="_DV_M190"/>
      <w:bookmarkEnd w:id="228"/>
      <w:bookmarkEnd w:id="229"/>
      <w:r>
        <w:rPr/>
        <w:t>2.5</w:t>
        <w:tab/>
        <w:t>Instrument for the Payment of Money.</w:t>
      </w:r>
    </w:p>
    <w:p>
      <w:pPr>
        <w:pStyle w:val="a"/>
        <w:ind w:hanging="0" w:start="0" w:end="0"/>
        <w:rPr/>
      </w:pPr>
      <w:bookmarkStart w:id="230" w:name="_DV_M191"/>
      <w:bookmarkEnd w:id="230"/>
      <w:r>
        <w:rPr/>
        <w:t>Each Sponsor hereby acknowledges that the agreements in this Article 2 constitute an instrument for the payment of money, and consents and agrees that any Secured Party or the Common Agent at the written direction of any Lender, at its sole option, in the event of a dispute by such Sponsors in the payment of any moneys due hereunder, shall have the right to bring a motion-action under New York CPLR Section 3213.</w:t>
      </w:r>
    </w:p>
    <w:p>
      <w:pPr>
        <w:pStyle w:val="Heading3"/>
        <w:ind w:hanging="0" w:start="0"/>
        <w:rPr/>
      </w:pPr>
      <w:bookmarkStart w:id="231" w:name="__RefHeading___Toc495746141"/>
      <w:bookmarkStart w:id="232" w:name="_DV_M192"/>
      <w:bookmarkEnd w:id="231"/>
      <w:bookmarkEnd w:id="232"/>
      <w:r>
        <w:rPr/>
        <w:t>2.6</w:t>
        <w:tab/>
        <w:t>Bankruptcy.</w:t>
      </w:r>
    </w:p>
    <w:p>
      <w:pPr>
        <w:pStyle w:val="a"/>
        <w:ind w:hanging="0" w:start="0" w:end="0"/>
        <w:rPr/>
      </w:pPr>
      <w:bookmarkStart w:id="233" w:name="_DV_M193"/>
      <w:bookmarkEnd w:id="233"/>
      <w:r>
        <w:rPr/>
        <w:t>In any action or proceeding involving any state corporate law, or any state or Federal or foreign bankruptcy, insolvency, reorganization, or other law affecting the rights of creditors generally, if the obligation of any Sponsor under this Article 2 would otherwise be held or determined to be void, invalid, or unenforceable, or subordinated to the claims of any other creditors, on account of the amount of its liability under this Article 2, then, notwithstanding any other provision hereof to the contrary, the amount of such liability shall, without any further action by such Sponsor, any Secured Party, or any other Person, be automatically limited and reduced to the highest amount that is valid and enforceable and not subordinated to the claims of other creditors as determined in such action or proceeding.</w:t>
      </w:r>
    </w:p>
    <w:p>
      <w:pPr>
        <w:pStyle w:val="Heading3"/>
        <w:ind w:hanging="0" w:start="0"/>
        <w:rPr/>
      </w:pPr>
      <w:bookmarkStart w:id="234" w:name="__RefHeading___Toc495746142"/>
      <w:bookmarkStart w:id="235" w:name="_DV_M194"/>
      <w:bookmarkEnd w:id="234"/>
      <w:bookmarkEnd w:id="235"/>
      <w:r>
        <w:rPr/>
        <w:t>2.7</w:t>
        <w:tab/>
        <w:t>Subrogation and Subordination.</w:t>
      </w:r>
    </w:p>
    <w:p>
      <w:pPr>
        <w:pStyle w:val="Normal"/>
        <w:spacing w:lineRule="exact" w:line="288" w:before="0" w:after="288"/>
        <w:jc w:val="both"/>
        <w:rPr/>
      </w:pPr>
      <w:bookmarkStart w:id="236" w:name="_DV_M195"/>
      <w:bookmarkEnd w:id="236"/>
      <w:r>
        <w:rPr/>
        <w:t xml:space="preserve">Upon making any payment under this Article 2 by either Sponsor, such Sponsor shall be subrogated to the rights of the Secured Parties against the Brazilian Borrowers with respect to such payment; </w:t>
      </w:r>
      <w:r>
        <w:rPr>
          <w:b/>
          <w:bCs/>
          <w:i/>
          <w:iCs/>
        </w:rPr>
        <w:t>provided</w:t>
      </w:r>
      <w:r>
        <w:rPr/>
        <w:t xml:space="preserve"> that until the Secured Obligations have been indefeasibly paid in full and all Commitments shall have expired or terminated, such Sponsor shall not, and shall not permit any of its Subsidiaries having a direct or indirect interest in any Borrower to, take any action with respect to the Borrower or any of the Collateral, except to the extent expressly permitted in Section 2.1(c) and Section 2.2(e).  </w:t>
      </w:r>
    </w:p>
    <w:p>
      <w:pPr>
        <w:pStyle w:val="Heading2"/>
        <w:ind w:hanging="0" w:start="0"/>
        <w:jc w:val="both"/>
        <w:rPr/>
      </w:pPr>
      <w:bookmarkStart w:id="237" w:name="__RefHeading___Toc495746143"/>
      <w:bookmarkStart w:id="238" w:name="_DV_M196"/>
      <w:bookmarkEnd w:id="237"/>
      <w:bookmarkEnd w:id="238"/>
      <w:r>
        <w:rPr/>
        <w:t>ARTICLE 3.  Payments Free and Clear of Taxes, Etc.</w:t>
      </w:r>
    </w:p>
    <w:p>
      <w:pPr>
        <w:pStyle w:val="Heading3"/>
        <w:ind w:hanging="0" w:start="0"/>
        <w:rPr/>
      </w:pPr>
      <w:bookmarkStart w:id="239" w:name="__RefHeading___Toc495746144"/>
      <w:bookmarkStart w:id="240" w:name="_DV_M197"/>
      <w:bookmarkEnd w:id="239"/>
      <w:bookmarkEnd w:id="240"/>
      <w:r>
        <w:rPr/>
        <w:t>3.1</w:t>
        <w:tab/>
        <w:t>Payments Free and Clear of Taxes.</w:t>
      </w:r>
    </w:p>
    <w:p>
      <w:pPr>
        <w:pStyle w:val="Normal"/>
        <w:spacing w:lineRule="exact" w:line="288" w:before="0" w:after="288"/>
        <w:jc w:val="both"/>
        <w:rPr/>
      </w:pPr>
      <w:bookmarkStart w:id="241" w:name="_DV_M198"/>
      <w:bookmarkEnd w:id="241"/>
      <w:r>
        <w:rPr/>
        <w:t>All sums payable by either Sponsor shall be paid in full, free of any deductions or withholdings for any and all present and future Taxes.  In the event that either Sponsor is prohibited by law from making payments hereunder free of such deductions or withholdings, then such Sponsor shall pay such additional amount as may be necessary in order that the actual amount received after such deduction or withholding shall equal the full amount stated to be payable hereunder by it.</w:t>
      </w:r>
    </w:p>
    <w:p>
      <w:pPr>
        <w:pStyle w:val="Heading3"/>
        <w:ind w:hanging="0" w:start="0"/>
        <w:rPr/>
      </w:pPr>
      <w:bookmarkStart w:id="242" w:name="__RefHeading___Toc495746145"/>
      <w:bookmarkStart w:id="243" w:name="_DV_M199"/>
      <w:bookmarkEnd w:id="242"/>
      <w:bookmarkEnd w:id="243"/>
      <w:r>
        <w:rPr/>
        <w:t>3.2</w:t>
        <w:tab/>
        <w:t>Payment to Tax Authorities.</w:t>
      </w:r>
    </w:p>
    <w:p>
      <w:pPr>
        <w:pStyle w:val="Normal"/>
        <w:spacing w:lineRule="exact" w:line="288" w:before="0" w:after="288"/>
        <w:jc w:val="both"/>
        <w:rPr>
          <w:b/>
          <w:bCs/>
        </w:rPr>
      </w:pPr>
      <w:bookmarkStart w:id="244" w:name="_DV_M200"/>
      <w:bookmarkEnd w:id="244"/>
      <w:r>
        <w:rPr/>
        <w:t>Each Sponsor shall pay directly to all appropriate taxing authorities any and all Taxes, and all liabilities with respect to such Taxes, imposed by law or by any taxing authority on or with regard to any payment required to be made by such Sponsor hereunder, except for any Taxes or other liabilities that are being</w:t>
      </w:r>
      <w:r>
        <w:rPr>
          <w:b/>
          <w:bCs/>
        </w:rPr>
        <w:t xml:space="preserve"> </w:t>
      </w:r>
      <w:r>
        <w:rPr/>
        <w:t xml:space="preserve">contested in good faith by appropriate proceedings; </w:t>
      </w:r>
      <w:r>
        <w:rPr>
          <w:b/>
          <w:bCs/>
          <w:i/>
          <w:iCs/>
        </w:rPr>
        <w:t>provided</w:t>
      </w:r>
      <w:r>
        <w:rPr>
          <w:b/>
          <w:bCs/>
        </w:rPr>
        <w:t xml:space="preserve"> </w:t>
      </w:r>
      <w:r>
        <w:rPr/>
        <w:t>that such Sponsor hereby indemnifies each Secured Party and holds them each harmless from and against any and all liabilities, fees, or additional expenses with respect to or resulting from any delay in paying, or omission to pay, such Taxes or other liabilities in respect of such payment required to be made by such Sponsor.  Within 45 days after the payment by either Sponsor of any such Taxes, such Sponsor shall furnish the Common Agent with the original or a certified copy of the receipt evidencing payment thereof, together with any other information any Secured Party may reasonably require to establish to its satisfaction that full and timely payment of such Taxes has been made.</w:t>
      </w:r>
    </w:p>
    <w:p>
      <w:pPr>
        <w:pStyle w:val="Heading2"/>
        <w:ind w:hanging="0" w:start="0"/>
        <w:jc w:val="both"/>
        <w:rPr/>
      </w:pPr>
      <w:bookmarkStart w:id="245" w:name="__RefHeading___Toc495746146"/>
      <w:bookmarkStart w:id="246" w:name="_DV_M201"/>
      <w:bookmarkEnd w:id="245"/>
      <w:bookmarkEnd w:id="246"/>
      <w:r>
        <w:rPr/>
        <w:t>ARTICLE 4.  Representations and Warranties</w:t>
      </w:r>
    </w:p>
    <w:p>
      <w:pPr>
        <w:pStyle w:val="Heading3"/>
        <w:ind w:hanging="0" w:start="0"/>
        <w:rPr/>
      </w:pPr>
      <w:bookmarkStart w:id="247" w:name="__RefHeading___Toc495746147"/>
      <w:bookmarkStart w:id="248" w:name="_DV_M202"/>
      <w:bookmarkEnd w:id="247"/>
      <w:bookmarkEnd w:id="248"/>
      <w:r>
        <w:rPr>
          <w:smallCaps/>
        </w:rPr>
        <w:t>4.1</w:t>
        <w:tab/>
      </w:r>
      <w:r>
        <w:rPr/>
        <w:t>Representations of the Sponsors.</w:t>
      </w:r>
    </w:p>
    <w:p>
      <w:pPr>
        <w:pStyle w:val="BodyText"/>
        <w:rPr/>
      </w:pPr>
      <w:bookmarkStart w:id="249" w:name="_DV_M203"/>
      <w:bookmarkEnd w:id="249"/>
      <w:r>
        <w:rPr/>
        <w:t xml:space="preserve">Each Sponsor represents and warrants to the Lenders and the Common Agent that as of the date of this Agreement and on the date of each Advance:  </w:t>
      </w:r>
    </w:p>
    <w:p>
      <w:pPr>
        <w:pStyle w:val="a"/>
        <w:ind w:start="1440" w:end="0"/>
        <w:rPr/>
      </w:pPr>
      <w:bookmarkStart w:id="250" w:name="_DV_M204"/>
      <w:bookmarkEnd w:id="250"/>
      <w:r>
        <w:rPr/>
        <w:t>(a)</w:t>
        <w:tab/>
        <w:t>It has all necessary corporate, partnership, or other like power, authority, and legal right to execute, deliver, and perform its obligations under this Agreement; the execution, delivery, and performance by it of this Agreement have been duly authorized by all necessary corporate, partnership, or other like action on its part; and this Agreement has been duly and validly executed and delivered by it and constitutes its legal, valid, and binding obligation, enforceable against it in accordance with its terms, except as such enforceability may be limited by (i) bankruptcy, insolvency, reorganization, moratorium, or similar laws of general applicability affecting the enforcement of creditors’ rights and (ii) the application of general principles of equity (regardless of whether such enforceability is considered in a proceeding in equity or at law).</w:t>
      </w:r>
    </w:p>
    <w:p>
      <w:pPr>
        <w:pStyle w:val="a"/>
        <w:ind w:start="1440" w:end="0"/>
        <w:rPr/>
      </w:pPr>
      <w:bookmarkStart w:id="251" w:name="_DV_M205"/>
      <w:bookmarkEnd w:id="251"/>
      <w:r>
        <w:rPr/>
        <w:t>(b)</w:t>
        <w:tab/>
        <w:t>No authorizations, approvals, or consents of, and no filings or registrations with, any governmental or regulatory authority or agency, or any securities exchange (other than those already obtained or the failure to obtain which would not reasonably be expected to have a material adverse effect on its ability to perform its obligations hereunder or the legality, validity, or enforceability hereof), are necessary for the execution, delivery, or performance by it of this Agreement and the transactions contemplated hereby, or for the legality, validity, or enforceability hereof.</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rFonts w:ascii="Times New Roman" w:hAnsi="Times New Roman" w:cs="Times New Roman"/>
        </w:rPr>
      </w:pPr>
      <w:bookmarkStart w:id="252" w:name="_DV_M206"/>
      <w:bookmarkEnd w:id="252"/>
      <w:r>
        <mc:AlternateContent>
          <mc:Choice Requires="wps">
            <w:drawing>
              <wp:anchor behindDoc="0" distT="0" distB="0" distL="114935" distR="114935" simplePos="0" locked="0" layoutInCell="1" allowOverlap="1" relativeHeight="36">
                <wp:simplePos x="0" y="0"/>
                <wp:positionH relativeFrom="column">
                  <wp:posOffset>-822960</wp:posOffset>
                </wp:positionH>
                <wp:positionV relativeFrom="paragraph">
                  <wp:posOffset>129540</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10.2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rPr>
        <w:t>(c)</w:t>
        <w:tab/>
        <w:t>None of the execution and delivery of this Agreement, the consummation of the transactions herein contemplated, or compliance with the terms and provisions hereof will require the consent of or approval of any of its creditors, or conflict with or result in a breach of, or require any consent under, its charter or by-laws (or other organizational document or operating agreement), or any Applicable Law or regulation, or any order, writ, injunction, or decree of any court or governmental authority or agency, or any agreement or instrument to which it is a party or by which it or its Property is bound or to which any of them is subject, or constitute a default under any such agreement or instrument, or result in the creation or imposition of any Lien (other than a Permitted Lien) upon any of its Property pursuant to the terms of any such agreement or instrument.</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rFonts w:ascii="Times New Roman" w:hAnsi="Times New Roman" w:cs="Times New Roman"/>
        </w:rPr>
      </w:pPr>
      <w:bookmarkStart w:id="253" w:name="_DV_M207"/>
      <w:bookmarkEnd w:id="253"/>
      <w:r>
        <w:rPr>
          <w:rFonts w:cs="Times New Roman" w:ascii="Times New Roman" w:hAnsi="Times New Roman"/>
        </w:rPr>
        <w:t>(d)</w:t>
        <w:tab/>
        <w:t>The activities contemplated by the provisions of this Agreement are commercial in nature rather than governmental or public, and therefore it acknowledges and agrees that it is not entitled to any right of immunity on the grounds of sovereignty or otherwise with respect to such activities or in any legal action or proceeding arising out of or relating to this Agreement.  Each Sponsor in respect of itself, its process agents, and its properties and revenues, expressly and irrevocably waives any such right of immunity which may now or hereafter exist (including any immunity from any legal process, from the jurisdiction of any court or from any execution or attachment in aid of execution prior to judgment or otherwise) or claim thereto which may now or hereafter exist, and agrees not to assert any such right or claim in any such action or proceeding, whether in the United States or otherwise.  The foregoing waiver of immunity shall have effect under the United States Foreign Sovereign Immunities Act of 1976.</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rFonts w:ascii="Times New Roman" w:hAnsi="Times New Roman" w:cs="Times New Roman"/>
        </w:rPr>
      </w:pPr>
      <w:bookmarkStart w:id="254" w:name="_DV_M208"/>
      <w:bookmarkEnd w:id="254"/>
      <w:r>
        <w:rPr>
          <w:rFonts w:cs="Times New Roman" w:ascii="Times New Roman" w:hAnsi="Times New Roman"/>
        </w:rPr>
        <w:t>(e)</w:t>
        <w:tab/>
        <w:t xml:space="preserve">No action, suit, other legal proceeding, arbitral proceeding, or investigation is pending by or before any domestic or foreign court or Governmental Authority or in any arbitral or other forum and as to which such Sponsor has been served with process, or, to the actual knowledge of an Authorized Representative of such Sponsor (as the case may  be), is threatened in writing, against it or any of its properties or rights that  (A) relates to this Agreement, or (B) has, or could reasonably be expected to have, a Material Adverse Effect, except in the case of each Sponsor, other than as previously disclosed in writing to the Lenders and, in the case of Enron Corp., other than as disclosed in Enron Corp.'s 10-K for the 12 months ended December 31, 1999, 10-Q for the three months ended March 31, 2000, and 10-Q for the three months ended June 30, 2000.  </w:t>
      </w:r>
    </w:p>
    <w:p>
      <w:pPr>
        <w:pStyle w:val="Normal"/>
        <w:spacing w:lineRule="exact" w:line="288" w:before="0" w:after="288"/>
        <w:ind w:hanging="720" w:start="1440" w:end="0"/>
        <w:jc w:val="both"/>
        <w:rPr>
          <w:b/>
          <w:bCs/>
        </w:rPr>
      </w:pPr>
      <w:bookmarkStart w:id="255" w:name="_DV_M209"/>
      <w:bookmarkEnd w:id="255"/>
      <w:r>
        <w:rPr/>
        <w:t>(f)</w:t>
        <w:tab/>
        <w:t>As of the date hereof its obligations under this Agreement are not subject to any offsets or defenses of any kind against any Secured Party or any Borrower.</w:t>
      </w:r>
    </w:p>
    <w:p>
      <w:pPr>
        <w:pStyle w:val="Heading2"/>
        <w:ind w:hanging="0" w:start="0"/>
        <w:jc w:val="both"/>
        <w:rPr/>
      </w:pPr>
      <w:bookmarkStart w:id="256" w:name="__RefHeading___Toc495746148"/>
      <w:bookmarkStart w:id="257" w:name="_DV_M210"/>
      <w:bookmarkEnd w:id="256"/>
      <w:bookmarkEnd w:id="257"/>
      <w:r>
        <w:rPr/>
        <w:t>ARTICLE 5.   Covenants</w:t>
      </w:r>
    </w:p>
    <w:p>
      <w:pPr>
        <w:pStyle w:val="Heading3"/>
        <w:ind w:hanging="0" w:start="0"/>
        <w:rPr/>
      </w:pPr>
      <w:bookmarkStart w:id="258" w:name="__RefHeading___Toc495746149"/>
      <w:bookmarkStart w:id="259" w:name="_DV_M211"/>
      <w:bookmarkEnd w:id="258"/>
      <w:bookmarkEnd w:id="259"/>
      <w:r>
        <w:rPr/>
        <w:t>5.1</w:t>
        <w:tab/>
        <w:t>Covenants of the Sponsors.</w:t>
      </w:r>
    </w:p>
    <w:p>
      <w:pPr>
        <w:pStyle w:val="BodyText"/>
        <w:rPr/>
      </w:pPr>
      <w:bookmarkStart w:id="260" w:name="_DV_M212"/>
      <w:bookmarkEnd w:id="260"/>
      <w:r>
        <w:rPr/>
        <w:t>Until the later to occur of (a) the termination of the obligations referred to in Section 7.2(a) and (b) the termination of the obligations referred to in Section 7.2(b), each Sponsor covenants and agrees with the Secured Parties that:</w:t>
      </w:r>
    </w:p>
    <w:p>
      <w:pPr>
        <w:pStyle w:val="a"/>
        <w:ind w:start="1440" w:end="0"/>
        <w:rPr/>
      </w:pPr>
      <w:bookmarkStart w:id="261" w:name="_DV_M213"/>
      <w:bookmarkEnd w:id="261"/>
      <w:r>
        <w:rPr/>
        <w:t>(a)</w:t>
        <w:tab/>
        <w:t xml:space="preserve">It will do or cause to be done all things necessary to preserve, renew, and keep in full force and effect its legal existence and the rights, licenses, permits, privileges, and franchises material to the conduct of its business, except where failure to do so could not reasonably be expected to have a material adverse effect on the performance of its obligations under this Agreement; </w:t>
      </w:r>
      <w:r>
        <w:rPr>
          <w:b/>
          <w:bCs/>
          <w:i/>
          <w:iCs/>
        </w:rPr>
        <w:t>provided, however,</w:t>
      </w:r>
      <w:r>
        <w:rPr/>
        <w:t xml:space="preserve"> that this Section 5.1(a) shall not apply to any merger or consolidation to which such Sponsor is a party if the surviving Person thereof, if not such Sponsor, assumes all the obligations of such Sponsor under this Agreement and (in the case of a merger or consolidation of Enron Corp.) after giving effect to such merger or consolidation, the surviving Person is organized under the laws of the United States of America.</w:t>
      </w:r>
    </w:p>
    <w:p>
      <w:pPr>
        <w:pStyle w:val="a"/>
        <w:ind w:start="1440" w:end="0"/>
        <w:rPr>
          <w:b/>
          <w:bCs/>
        </w:rPr>
      </w:pPr>
      <w:bookmarkStart w:id="262" w:name="_DV_M214"/>
      <w:bookmarkEnd w:id="262"/>
      <w:r>
        <w:rPr/>
        <w:t>(b)</w:t>
        <w:tab/>
        <w:t>It will comply in all respects with the requirements of all Applicable Laws, except where the failure to comply could not reasonably be expected to have a material adverse effect on its ability to perform its obligations hereunder.</w:t>
      </w:r>
    </w:p>
    <w:p>
      <w:pPr>
        <w:pStyle w:val="Heading2"/>
        <w:ind w:hanging="0" w:start="0"/>
        <w:jc w:val="both"/>
        <w:rPr>
          <w:b w:val="false"/>
          <w:bCs/>
          <w:lang w:val="fr-FR"/>
        </w:rPr>
      </w:pPr>
      <w:bookmarkStart w:id="263" w:name="__RefHeading___Toc495746150"/>
      <w:bookmarkStart w:id="264" w:name="_DV_M215"/>
      <w:bookmarkEnd w:id="263"/>
      <w:bookmarkEnd w:id="264"/>
      <w:r>
        <w:rPr>
          <w:lang w:val="fr-FR"/>
        </w:rPr>
        <w:t>ARTICLE 6.  PAYMENTS, ETC.</w:t>
      </w:r>
    </w:p>
    <w:p>
      <w:pPr>
        <w:pStyle w:val="a"/>
        <w:numPr>
          <w:ilvl w:val="1"/>
          <w:numId w:val="11"/>
        </w:numPr>
        <w:tabs>
          <w:tab w:val="clear" w:pos="720"/>
          <w:tab w:val="left" w:pos="0" w:leader="none"/>
        </w:tabs>
        <w:rPr>
          <w:b/>
          <w:bCs/>
        </w:rPr>
      </w:pPr>
      <w:bookmarkStart w:id="265" w:name="_DV_M216"/>
      <w:bookmarkEnd w:id="265"/>
      <w:r>
        <w:rPr>
          <w:b/>
          <w:bCs/>
        </w:rPr>
        <w:t xml:space="preserve">Payments.  </w:t>
      </w:r>
    </w:p>
    <w:p>
      <w:pPr>
        <w:pStyle w:val="a"/>
        <w:tabs>
          <w:tab w:val="clear" w:pos="720"/>
          <w:tab w:val="left" w:pos="0" w:leader="none"/>
        </w:tabs>
        <w:ind w:hanging="0" w:start="0" w:end="0"/>
        <w:rPr/>
      </w:pPr>
      <w:bookmarkStart w:id="266" w:name="_DV_M217"/>
      <w:bookmarkEnd w:id="266"/>
      <w:r>
        <w:rPr/>
        <w:t>Each Sponsor shall make all payments under this Agreement in U.S. Dollars and in immediately available funds by direct payment of the aggregate amount thereof (without reduction for or on account of any set-off, counterclaim, or other right that such Sponsor may have against any Secured Party, the Borrowers, or any other Person or that any Borrower may have against any other Secured Party or any other Person) for deposit and application in accordance with the written instructions of the Common Agent (acting upon the instructions of the Lenders).</w:t>
      </w:r>
    </w:p>
    <w:p>
      <w:pPr>
        <w:pStyle w:val="Heading3"/>
        <w:ind w:hanging="0" w:start="0"/>
        <w:rPr/>
      </w:pPr>
      <w:bookmarkStart w:id="267" w:name="__RefHeading___Toc495746151"/>
      <w:bookmarkStart w:id="268" w:name="_DV_M218"/>
      <w:bookmarkEnd w:id="267"/>
      <w:bookmarkEnd w:id="268"/>
      <w:r>
        <w:rPr/>
        <w:t>6.2</w:t>
        <w:tab/>
        <w:t>Confirmations.</w:t>
      </w:r>
    </w:p>
    <w:p>
      <w:pPr>
        <w:pStyle w:val="BodyText"/>
        <w:rPr/>
      </w:pPr>
      <w:bookmarkStart w:id="269" w:name="_DV_M219"/>
      <w:bookmarkEnd w:id="269"/>
      <w:r>
        <w:rPr/>
        <w:t>Each Sponsor confirms and agrees for the benefit of the Secured Parties, as follows:</w:t>
      </w:r>
    </w:p>
    <w:p>
      <w:pPr>
        <w:pStyle w:val="a"/>
        <w:ind w:start="1440" w:end="0"/>
        <w:rPr/>
      </w:pPr>
      <w:bookmarkStart w:id="270" w:name="_DV_M220"/>
      <w:bookmarkEnd w:id="270"/>
      <w:r>
        <w:rPr/>
        <w:t>(i)</w:t>
        <w:tab/>
        <w:t>In making payments in respect of this Agreement, it will not seek to recover from any Secured Party for any reason any such payment once made except in accordance with the express terms of the Accounts Agreements.</w:t>
      </w:r>
    </w:p>
    <w:p>
      <w:pPr>
        <w:pStyle w:val="Normal"/>
        <w:ind w:hanging="720" w:start="1440" w:end="0"/>
        <w:jc w:val="both"/>
        <w:rPr/>
      </w:pPr>
      <w:bookmarkStart w:id="271" w:name="_DV_M221"/>
      <w:bookmarkEnd w:id="271"/>
      <w:r>
        <w:rPr/>
        <w:t>(ii)</w:t>
        <w:tab/>
        <w:t>(A)</w:t>
        <w:tab/>
        <w:t>It acknowledges and agrees that if the Common Agent shall provide written notice to it that the Common Agent desires to exercise its rights and remedies pursuant to the Common Agreement or any Security Document during the continuation of an Event of Default, the Common Agent shall be entitled, to the extent permitted by Applicable Law, to exercise its rights under the Common Agreement and the Security Documents during the continuation of an Event of Default as a secured party and collateral assignee of this Agreement and to make all demands, give all notices, take all actions, and enforce all rights permitted to the Borrowers under this Agreement, and to exercise its other rights under the Common Agreement.</w:t>
      </w:r>
    </w:p>
    <w:p>
      <w:pPr>
        <w:pStyle w:val="Normal"/>
        <w:tabs>
          <w:tab w:val="left" w:pos="720" w:leader="none"/>
        </w:tabs>
        <w:spacing w:lineRule="exact" w:line="288" w:before="0" w:after="288"/>
        <w:ind w:start="1440" w:end="0"/>
        <w:jc w:val="both"/>
        <w:rPr/>
      </w:pPr>
      <w:bookmarkStart w:id="272" w:name="_DV_M222"/>
      <w:bookmarkEnd w:id="272"/>
      <w:r>
        <w:rPr/>
        <w:t>(B)</w:t>
        <w:tab/>
        <w:t>It acknowledges and agrees that no Secured Party shall be obligated or required to perform any of the obligations of any Borrower under this Agreement or to take any action to collect or enforce any claim for payment by any Borrower under this Agreement.</w:t>
      </w:r>
    </w:p>
    <w:p>
      <w:pPr>
        <w:pStyle w:val="Normal"/>
        <w:spacing w:lineRule="exact" w:line="288" w:before="0" w:after="288"/>
        <w:ind w:start="1440" w:end="0"/>
        <w:jc w:val="both"/>
        <w:rPr/>
      </w:pPr>
      <w:bookmarkStart w:id="273" w:name="_DV_M223"/>
      <w:bookmarkEnd w:id="273"/>
      <w:r>
        <w:rPr/>
        <w:t>(C)</w:t>
        <w:tab/>
        <w:t xml:space="preserve">It acknowledges and agrees that the Financing Documents restrict the ability of the Borrowers to cancel or terminate this Agreement or consent to or accept any cancellation or termination hereof, or to amend, modify, suspend, or give any consent, waiver, or approval hereunder, waive any default under or any breach of any term or condition of this Agreement, or agree in any manner to any amendment, modification, or change of any term or condition hereof.  </w:t>
      </w:r>
    </w:p>
    <w:p>
      <w:pPr>
        <w:pStyle w:val="Heading2"/>
        <w:ind w:hanging="0" w:start="0"/>
        <w:jc w:val="both"/>
        <w:rPr/>
      </w:pPr>
      <w:bookmarkStart w:id="274" w:name="__RefHeading___Toc495746152"/>
      <w:bookmarkStart w:id="275" w:name="_DV_M224"/>
      <w:bookmarkEnd w:id="274"/>
      <w:bookmarkEnd w:id="275"/>
      <w:r>
        <w:rPr/>
        <w:t>ARTICLE 7.  MISCELLANEOUS.</w:t>
      </w:r>
    </w:p>
    <w:p>
      <w:pPr>
        <w:pStyle w:val="Heading3"/>
        <w:ind w:hanging="0" w:start="0"/>
        <w:rPr/>
      </w:pPr>
      <w:bookmarkStart w:id="276" w:name="__RefHeading___Toc495746153"/>
      <w:bookmarkStart w:id="277" w:name="_DV_M225"/>
      <w:bookmarkEnd w:id="277"/>
      <w:r>
        <w:rPr/>
        <w:t>7.1</w:t>
        <w:tab/>
        <w:t>No Waiver.</w:t>
      </w:r>
      <w:bookmarkStart w:id="278" w:name="_DV_M226"/>
      <w:bookmarkEnd w:id="276"/>
      <w:bookmarkEnd w:id="278"/>
      <w:r>
        <w:rPr/>
        <w:t xml:space="preserve"> </w:t>
      </w:r>
    </w:p>
    <w:p>
      <w:pPr>
        <w:pStyle w:val="BodyText"/>
        <w:rPr/>
      </w:pPr>
      <w:bookmarkStart w:id="279" w:name="_DV_M227"/>
      <w:bookmarkEnd w:id="279"/>
      <w:r>
        <w:rPr/>
        <w:t>No failure on the part of any Secured Party, or any of their respective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No waiver of any such right shall be effective unless given in writing.  The remedies provided herein are cumulative and are not exclusive of any remedies provided by Applicable Law.</w:t>
      </w:r>
    </w:p>
    <w:p>
      <w:pPr>
        <w:pStyle w:val="Heading3"/>
        <w:ind w:hanging="0" w:start="0"/>
        <w:rPr/>
      </w:pPr>
      <w:bookmarkStart w:id="280" w:name="__RefHeading___Toc495746154"/>
      <w:bookmarkStart w:id="281" w:name="_DV_M228"/>
      <w:bookmarkEnd w:id="280"/>
      <w:bookmarkEnd w:id="281"/>
      <w:r>
        <w:rPr/>
        <w:t>7.2</w:t>
        <w:tab/>
        <w:t>Termination.</w:t>
      </w:r>
    </w:p>
    <w:p>
      <w:pPr>
        <w:pStyle w:val="CPNormal"/>
        <w:ind w:firstLine="720" w:end="0"/>
        <w:jc w:val="both"/>
        <w:rPr/>
      </w:pPr>
      <w:bookmarkStart w:id="282" w:name="_DV_M229"/>
      <w:bookmarkEnd w:id="282"/>
      <w:r>
        <w:rPr/>
        <w:t>(a)</w:t>
        <w:tab/>
        <w:t>Each Sponsor's obligation to make any payment pursuant to Section 2.1 shall terminate on the earliest of the following to occur, in each case to the reasonable satisfaction of the Lenders:</w:t>
      </w:r>
    </w:p>
    <w:p>
      <w:pPr>
        <w:pStyle w:val="CPNormal"/>
        <w:ind w:hanging="720" w:start="1440" w:end="0"/>
        <w:jc w:val="both"/>
        <w:rPr/>
      </w:pPr>
      <w:bookmarkStart w:id="283" w:name="_DV_M230"/>
      <w:bookmarkEnd w:id="283"/>
      <w:r>
        <w:rPr/>
        <w:t>(i)</w:t>
        <w:tab/>
        <w:t xml:space="preserve">issuance by the Brazilian Central Bank of the requisite approval for Applicable Conversions and Transfers in connection with the guarantee by GasMat and EPE of the Secured Obligations and O&amp;M Costs of GasBol; </w:t>
      </w:r>
    </w:p>
    <w:p>
      <w:pPr>
        <w:pStyle w:val="CPNormal"/>
        <w:ind w:hanging="720" w:start="1440" w:end="0"/>
        <w:jc w:val="both"/>
        <w:rPr/>
      </w:pPr>
      <w:bookmarkStart w:id="284" w:name="_DV_M231"/>
      <w:bookmarkEnd w:id="284"/>
      <w:r>
        <w:rPr/>
        <w:t>(ii)</w:t>
        <w:tab/>
        <w:t xml:space="preserve">a Brazilian change-in-law goes into effect permitting (A) Applicable Conversions and Transfers in connection with the guarantee by GasMat and EPE of the Secured Obligations and O&amp;M Costs of GasBol, or (B) the opening and maintenance by EPE and GasMat of offshore U.S. Dollar accounts pledged to the Common Agent on behalf of the Secured Parties, and in the case of clause (B), such accounts are opened as contemplated in the Accounts Agreements; </w:t>
      </w:r>
    </w:p>
    <w:p>
      <w:pPr>
        <w:pStyle w:val="CPNormal"/>
        <w:ind w:hanging="720" w:start="1440" w:end="0"/>
        <w:jc w:val="both"/>
        <w:rPr/>
      </w:pPr>
      <w:bookmarkStart w:id="285" w:name="_DV_M232"/>
      <w:bookmarkEnd w:id="285"/>
      <w:r>
        <w:rPr/>
        <w:t>(iii)</w:t>
        <w:tab/>
        <w:t>the date on which all of the Secured Obligations of GasBol have been indefeasibly paid in full and all Commitments have been terminated; and</w:t>
      </w:r>
    </w:p>
    <w:p>
      <w:pPr>
        <w:pStyle w:val="CPNormal"/>
        <w:ind w:hanging="720" w:start="1440" w:end="0"/>
        <w:jc w:val="both"/>
        <w:rPr/>
      </w:pPr>
      <w:bookmarkStart w:id="286" w:name="_DV_M233"/>
      <w:bookmarkEnd w:id="286"/>
      <w:r>
        <w:rPr/>
        <w:t>(iv)</w:t>
        <w:tab/>
        <w:t>with respect to GasBol O&amp;M Costs only, the date on which the Lenders (or their representatives) sell or otherwise dispose of the Collateral in connection with foreclosure proceedings against any Borrower.</w:t>
      </w:r>
    </w:p>
    <w:p>
      <w:pPr>
        <w:pStyle w:val="CPNormal"/>
        <w:ind w:firstLine="720" w:end="0"/>
        <w:jc w:val="both"/>
        <w:rPr/>
      </w:pPr>
      <w:bookmarkStart w:id="287" w:name="_DV_M234"/>
      <w:bookmarkEnd w:id="287"/>
      <w:r>
        <w:rPr/>
        <w:t>(b)</w:t>
        <w:tab/>
        <w:t>Each Sponsor's obligation to make any payments pursuant to Section 2.2 shall terminate on the earliest of the following to occur, in each case to the reasonable satisfaction of the Lenders:</w:t>
      </w:r>
    </w:p>
    <w:p>
      <w:pPr>
        <w:pStyle w:val="CPNormal"/>
        <w:ind w:hanging="720" w:start="1440" w:end="0"/>
        <w:jc w:val="both"/>
        <w:rPr/>
      </w:pPr>
      <w:bookmarkStart w:id="288" w:name="_DV_M235"/>
      <w:bookmarkEnd w:id="288"/>
      <w:r>
        <w:rPr/>
        <w:t>(i)</w:t>
        <w:tab/>
        <w:t xml:space="preserve">a determination by the Brazilian Central Bank, or ANEEL and ANP, that the Central Bank rules and regulations implementing Resolution 2.644 (relating to the opening and maintenance of U.S. Dollar accounts in Brazil) are applicable to EPE and GasMat ; </w:t>
      </w:r>
    </w:p>
    <w:p>
      <w:pPr>
        <w:pStyle w:val="CPNormal"/>
        <w:ind w:hanging="720" w:start="1440" w:end="0"/>
        <w:jc w:val="both"/>
        <w:rPr/>
      </w:pPr>
      <w:bookmarkStart w:id="289" w:name="_DV_M236"/>
      <w:bookmarkEnd w:id="289"/>
      <w:r>
        <w:rPr/>
        <w:t>(ii)</w:t>
        <w:tab/>
        <w:t>a Brazilian change-in-law (other than that described in clause (b)(i) above) goes into effect permitting (A) the Applicable Conversions and Transfers or (B) the opening and maintenance by EPE and GasMat of offshore U.S. Dollar accounts pledged to the Common Agent on behalf of the Secured Parties, and in the case of clause (B), such accounts are opened as contemplated by the Accounts Agreements;</w:t>
      </w:r>
    </w:p>
    <w:p>
      <w:pPr>
        <w:pStyle w:val="CPNormal"/>
        <w:ind w:hanging="720" w:start="1440" w:end="0"/>
        <w:jc w:val="both"/>
        <w:rPr/>
      </w:pPr>
      <w:bookmarkStart w:id="290" w:name="_DV_M237"/>
      <w:bookmarkEnd w:id="290"/>
      <w:r>
        <w:rPr/>
        <w:t>(iii)</w:t>
        <w:tab/>
        <w:t>the date on which all of the Secured Obligations of EPE and GasMat have been paid in full; and</w:t>
      </w:r>
    </w:p>
    <w:p>
      <w:pPr>
        <w:pStyle w:val="CPNormal"/>
        <w:ind w:hanging="720" w:start="1440" w:end="0"/>
        <w:jc w:val="both"/>
        <w:rPr/>
      </w:pPr>
      <w:bookmarkStart w:id="291" w:name="_DV_M238"/>
      <w:bookmarkEnd w:id="291"/>
      <w:r>
        <w:rPr/>
        <w:t>(iv)</w:t>
        <w:tab/>
        <w:t>with respect to Section 2.2(a) only, the date on which the Borrowers receive notification from KfW that Hermes has approved cover for the KfW Covered Loan Facility without requiring such indemnities to be in place.</w:t>
      </w:r>
    </w:p>
    <w:p>
      <w:pPr>
        <w:pStyle w:val="BodyText"/>
        <w:ind w:firstLine="720" w:end="0"/>
        <w:rPr/>
      </w:pPr>
      <w:bookmarkStart w:id="292" w:name="_DV_M239"/>
      <w:bookmarkEnd w:id="292"/>
      <w:r>
        <w:rPr/>
        <w:t>(c)</w:t>
        <w:tab/>
        <w:t xml:space="preserve">The representations and warranties made by the Sponsors, shall survive the termination of this Agreement or the resignation or removal of the Common Agent. </w:t>
      </w:r>
    </w:p>
    <w:p>
      <w:pPr>
        <w:pStyle w:val="Heading3"/>
        <w:ind w:hanging="0" w:start="0"/>
        <w:rPr/>
      </w:pPr>
      <w:bookmarkStart w:id="293" w:name="__RefHeading___Toc495746155"/>
      <w:bookmarkStart w:id="294" w:name="_DV_M240"/>
      <w:bookmarkEnd w:id="293"/>
      <w:bookmarkEnd w:id="294"/>
      <w:r>
        <w:rPr/>
        <w:t>7.3</w:t>
        <w:tab/>
        <w:t>Notices.</w:t>
      </w:r>
    </w:p>
    <w:p>
      <w:pPr>
        <w:pStyle w:val="Heading3"/>
        <w:keepNext w:val="false"/>
        <w:keepLines w:val="false"/>
        <w:ind w:hanging="0" w:start="0"/>
        <w:rPr>
          <w:b w:val="false"/>
          <w:bCs/>
        </w:rPr>
      </w:pPr>
      <w:bookmarkStart w:id="295" w:name="_DV_M241"/>
      <w:bookmarkEnd w:id="295"/>
      <w:r>
        <w:rPr>
          <w:b w:val="false"/>
          <w:bCs/>
        </w:rPr>
        <w:t>Any notice or other communication hereunder shall be given in the manner set forth in the Common Agreement to the parties, with a copy to each Lender, at the addresses set forth in the Common Agreement and the Equity Contribution Agreement.</w:t>
      </w:r>
    </w:p>
    <w:p>
      <w:pPr>
        <w:pStyle w:val="Heading3"/>
        <w:keepNext w:val="false"/>
        <w:keepLines w:val="false"/>
        <w:ind w:hanging="0" w:start="0"/>
        <w:rPr/>
      </w:pPr>
      <w:bookmarkStart w:id="296" w:name="__RefHeading___Toc495746157"/>
      <w:bookmarkStart w:id="297" w:name="_DV_M242"/>
      <w:bookmarkEnd w:id="296"/>
      <w:bookmarkEnd w:id="297"/>
      <w:r>
        <w:rPr/>
        <w:t>7.4</w:t>
        <w:tab/>
        <w:t>Successors and Assigns.</w:t>
      </w:r>
    </w:p>
    <w:p>
      <w:pPr>
        <w:pStyle w:val="BodyText"/>
        <w:rPr/>
      </w:pPr>
      <w:bookmarkStart w:id="298" w:name="_DV_M243"/>
      <w:bookmarkEnd w:id="298"/>
      <w:r>
        <w:rPr/>
        <w:t>This Agreement shall be binding upon the Sponsors, and their respective successors and permitted assigns and inure to the benefit of the Secured Parties, and the Borrowers and their respective successors and  permitted assigns.  Each Sponsor may only assign or transfer its rights and obligations under this Agreement to (i) a Permitted Transferee (as defined in the Equity Contribution Agreement) of the type described in Section 7.2(a)(iii) of the Equity Contribution Agreement or (ii) a Person that (x) has long-term unsecured debt rated Baa3 or higher by Moody's or BBB- or higher by S&amp;P and (y) is a Permitted Transferee (as defined in the Equity Contribution Agreement) in accordance with the terms of the Equity Contribution Agreement.  Such assignment or transfer shall not become effective until and unless such proposed transferee agrees to become a party to this Agreement pursuant to an instrument in form and substance satisfactory to the Lenders, and unless otherwise agreed by the Required Lenders, the relevant Sponsor, at the time of any such assignment or transfer, shall confirm to the Common Agent for the benefit of the Secured Parties in writing that it shall, remain liable for the portion of its obligations under this Agreement that is not subject to such permitted assignment or transfer.</w:t>
      </w:r>
    </w:p>
    <w:p>
      <w:pPr>
        <w:pStyle w:val="Heading3"/>
        <w:ind w:hanging="0" w:start="0"/>
        <w:rPr/>
      </w:pPr>
      <w:bookmarkStart w:id="299" w:name="__RefHeading___Toc495746158"/>
      <w:bookmarkStart w:id="300" w:name="_DV_M244"/>
      <w:bookmarkEnd w:id="299"/>
      <w:bookmarkEnd w:id="300"/>
      <w:r>
        <w:rPr/>
        <w:t>7.5</w:t>
        <w:tab/>
        <w:t>Amendments, Etc.</w:t>
      </w:r>
    </w:p>
    <w:p>
      <w:pPr>
        <w:pStyle w:val="BodyText"/>
        <w:rPr/>
      </w:pPr>
      <w:bookmarkStart w:id="301" w:name="_DV_M245"/>
      <w:bookmarkEnd w:id="301"/>
      <w:r>
        <w:rPr/>
        <w:t xml:space="preserve">Except as otherwise provided herein, neither this Agreement nor any of the terms hereof may be changed, waived, discharged, or terminated unless such change, waiver, discharge, or termination is in writing and signed by the Sponsors, the Borrowers, and the Lenders and then such change, waiver or consent shall be effective only in the specific instance and for the specific purpose for which given; </w:t>
      </w:r>
      <w:r>
        <w:rPr>
          <w:b/>
          <w:bCs/>
          <w:i/>
          <w:iCs/>
        </w:rPr>
        <w:t>provided</w:t>
      </w:r>
      <w:r>
        <w:rPr>
          <w:i/>
          <w:iCs/>
        </w:rPr>
        <w:t xml:space="preserve"> </w:t>
      </w:r>
      <w:r>
        <w:rPr/>
        <w:t xml:space="preserve">that the Common Agent shall not be required to sign any waiver requested by the Borrowers or the Sponsors hereunder.  </w:t>
      </w:r>
    </w:p>
    <w:p>
      <w:pPr>
        <w:pStyle w:val="Heading3"/>
        <w:ind w:hanging="0" w:start="0"/>
        <w:rPr/>
      </w:pPr>
      <w:bookmarkStart w:id="302" w:name="__RefHeading___Toc495746159"/>
      <w:bookmarkStart w:id="303" w:name="_DV_M246"/>
      <w:bookmarkEnd w:id="303"/>
      <w:r>
        <w:rPr/>
        <w:t>7.6</w:t>
        <w:tab/>
        <w:t>Remedies.</w:t>
      </w:r>
      <w:bookmarkStart w:id="304" w:name="_DV_M247"/>
      <w:bookmarkEnd w:id="302"/>
      <w:bookmarkEnd w:id="304"/>
      <w:r>
        <w:rPr/>
        <w:t xml:space="preserve">  </w:t>
      </w:r>
    </w:p>
    <w:p>
      <w:pPr>
        <w:pStyle w:val="a"/>
        <w:ind w:firstLine="720" w:start="0" w:end="0"/>
        <w:rPr/>
      </w:pPr>
      <w:bookmarkStart w:id="305" w:name="_DV_M248"/>
      <w:bookmarkEnd w:id="305"/>
      <w:r>
        <w:rPr/>
        <w:t>(a)</w:t>
        <w:tab/>
        <w:t>No remedy herein conferred upon or reserved to any party is intended to be exclusive of any other available remedy or remedies, but each and every such remedy shall be cumulative and shall be in addition to every other remedy given under this Agreement or now or hereafter existing at law or in equity or by statute. In order to entitle any party to exercise any remedy reserved to it in this Agreement, it shall not be necessary to give any notice, other than such notice as may be expressly required by this Agreement.   Except as provided in Article 2, no notice to or demand on any Sponsor in any case shall entitle it to any other or further notice or demand in the same or similar circumstances.</w:t>
      </w:r>
    </w:p>
    <w:p>
      <w:pPr>
        <w:pStyle w:val="a"/>
        <w:ind w:firstLine="720" w:start="0" w:end="0"/>
        <w:rPr/>
      </w:pPr>
      <w:bookmarkStart w:id="306" w:name="_DV_M249"/>
      <w:bookmarkEnd w:id="306"/>
      <w:r>
        <w:rPr/>
        <w:t>(b)</w:t>
        <w:tab/>
        <w:t xml:space="preserve">Each party hereto may proceed to protect and enforce its rights hereunder in any court or other tribunal by an action at law, suit in equity, or other appropriate proceedings, whether for damages, for the specific performance of any term hereof, or otherwise, or in aid of the exercise of any power granted hereby or by law.  </w:t>
      </w:r>
    </w:p>
    <w:p>
      <w:pPr>
        <w:pStyle w:val="Heading3"/>
        <w:ind w:hanging="0" w:start="0"/>
        <w:rPr/>
      </w:pPr>
      <w:bookmarkStart w:id="307" w:name="__RefHeading___Toc495746160"/>
      <w:bookmarkStart w:id="308" w:name="_DV_M250"/>
      <w:bookmarkEnd w:id="308"/>
      <w:r>
        <w:rPr/>
        <w:t>7.7</w:t>
        <w:tab/>
        <w:t>Headings.</w:t>
      </w:r>
      <w:bookmarkStart w:id="309" w:name="_DV_M251"/>
      <w:bookmarkEnd w:id="307"/>
      <w:bookmarkEnd w:id="309"/>
      <w:r>
        <w:rPr/>
        <w:t xml:space="preserve">  </w:t>
      </w:r>
    </w:p>
    <w:p>
      <w:pPr>
        <w:pStyle w:val="BodyText"/>
        <w:rPr/>
      </w:pPr>
      <w:bookmarkStart w:id="310" w:name="_DV_M252"/>
      <w:bookmarkEnd w:id="310"/>
      <w:r>
        <w:rPr/>
        <w:t xml:space="preserve">Paragraph headings have been inserted in this Agreement as a matter of convenience for reference only and it is agreed that such paragraph headings are not a part of this Agreement and shall not be used in the interpretation of any provision of this Agreement. </w:t>
      </w:r>
    </w:p>
    <w:p>
      <w:pPr>
        <w:pStyle w:val="Heading3"/>
        <w:ind w:hanging="0" w:start="0"/>
        <w:rPr/>
      </w:pPr>
      <w:bookmarkStart w:id="311" w:name="__RefHeading___Toc495746161"/>
      <w:bookmarkStart w:id="312" w:name="_DV_M253"/>
      <w:bookmarkEnd w:id="311"/>
      <w:bookmarkEnd w:id="312"/>
      <w:r>
        <w:rPr/>
        <w:t>7.8</w:t>
        <w:tab/>
        <w:t>Governing Law.</w:t>
      </w:r>
    </w:p>
    <w:p>
      <w:pPr>
        <w:pStyle w:val="BodyText"/>
        <w:rPr/>
      </w:pPr>
      <w:bookmarkStart w:id="313" w:name="_DV_M254"/>
      <w:bookmarkEnd w:id="313"/>
      <w:r>
        <w:rPr/>
        <w:t xml:space="preserve">THIS AGREEMENT SHALL BE, FOR ALL PURPOSES PURSUANT TO SECTION 5-1401 OF THE NEW YORK GENERAL OBLIGATIONS LAW, GOVERNED BY AND CONSTRUED IN ACCORDANCE WITH THE LAWS OF THE STATE OF NEW YORK OF THE UNITED STATES OF AMERICA; </w:t>
      </w:r>
      <w:r>
        <w:rPr>
          <w:b/>
          <w:bCs/>
          <w:i/>
          <w:iCs/>
        </w:rPr>
        <w:t>PROVIDED</w:t>
      </w:r>
      <w:r>
        <w:rPr/>
        <w:t xml:space="preserve">, </w:t>
      </w:r>
      <w:r>
        <w:rPr>
          <w:b/>
          <w:bCs/>
          <w:i/>
          <w:iCs/>
        </w:rPr>
        <w:t>HOWEVER</w:t>
      </w:r>
      <w:r>
        <w:rPr/>
        <w:t>, THAT IF, AND ONLY IF, ANY LEGAL ACTION OR PROCEEDING (OTHER THAN AN ACTION TO ENFORCE A JUDGMENT OBTAINED OUTSIDE BOLIVIA) SHALL BE BROUGHT IN RESPECT OF THIS AGREEMENT IN THE COURTS OF BOLIVIA, AND BOLIVIAN LAW REQUIRES THAT BOLIVIAN LAW GOVERN THIS AGREEMENT IN ANY SUCH LEGAL ACTION OR PROCEEDING, THEN, IN THAT CASE ONLY, THIS AGREEMENT SHALL BE GOVERNED BY THE LAWS OF BOLIVIA, AND THE MEANING AND CONSTRUCTION OF THE PROVISIONS HEREOF AND THE RIGHTS AND DUTIES OF THE PARTIES HEREUNDER SHALL, IN ALL RESPECTS, BE CONSTRUED IN ACCORDANCE WITH SAID LAWS.</w:t>
      </w:r>
    </w:p>
    <w:p>
      <w:pPr>
        <w:pStyle w:val="Heading3"/>
        <w:ind w:hanging="0" w:start="0"/>
        <w:rPr/>
      </w:pPr>
      <w:bookmarkStart w:id="314" w:name="__RefHeading___Toc495746162"/>
      <w:bookmarkStart w:id="315" w:name="_DV_M255"/>
      <w:bookmarkEnd w:id="315"/>
      <w:r>
        <w:rPr/>
        <w:t>7.9</w:t>
        <w:tab/>
        <w:t>Consent to Jurisdiction.</w:t>
      </w:r>
      <w:bookmarkStart w:id="316" w:name="_DV_M256"/>
      <w:bookmarkEnd w:id="314"/>
      <w:bookmarkEnd w:id="316"/>
      <w:r>
        <w:rPr/>
        <w:t xml:space="preserve"> </w:t>
      </w:r>
    </w:p>
    <w:p>
      <w:pPr>
        <w:pStyle w:val="a"/>
        <w:ind w:hanging="0" w:start="0" w:end="0"/>
        <w:rPr/>
      </w:pPr>
      <w:bookmarkStart w:id="317" w:name="_DV_M257"/>
      <w:bookmarkEnd w:id="317"/>
      <w:r>
        <w:rPr/>
        <w:t xml:space="preserve">Without prejudice to the Secured Parties’ right to bring suit in any appropriate domestic or foreign jurisdiction, any proceeding to enforce this Agreement may be brought by the Secured Parties in any state or federal court of competent jurisdiction in the District of Columbia </w:t>
      </w:r>
      <w:bookmarkStart w:id="318" w:name="_DV_C1"/>
      <w:r>
        <w:rPr>
          <w:rStyle w:val="DeltaViewDeletion"/>
        </w:rPr>
        <w:t xml:space="preserve">or the State of New York </w:t>
      </w:r>
      <w:bookmarkStart w:id="319" w:name="_DV_M258"/>
      <w:bookmarkEnd w:id="318"/>
      <w:bookmarkEnd w:id="319"/>
      <w:r>
        <w:rPr>
          <w:color w:val="000000"/>
        </w:rPr>
        <w:t>of the United States of America or in any other jurisdiction where the Sponsors, or any of their respective Property may be found.  Each Sponsor hereby irrevocably waives any present or future objection to any such venue, and irrevocably consents and submits unconditionally to the non-exclusive jurisdiction for itself and in respect of any of its property of any such court.  Each Sponsor further agrees that final judgment against it in any such action or proceeding arising out of or relating to this Agreement shall be conclusive and may be enforced in any other jurisdiction within or outside the United States of America by suit on the judgment, a certified or exemplified copy of which shall be conclusive evidence of the fact and of the amount of their obligation.</w:t>
      </w:r>
    </w:p>
    <w:p>
      <w:pPr>
        <w:pStyle w:val="Heading3"/>
        <w:ind w:hanging="0" w:start="0"/>
        <w:rPr>
          <w:color w:val="000000"/>
        </w:rPr>
      </w:pPr>
      <w:bookmarkStart w:id="320" w:name="__RefHeading___Toc495746163"/>
      <w:bookmarkStart w:id="321" w:name="_DV_M259"/>
      <w:bookmarkEnd w:id="321"/>
      <w:r>
        <w:rPr>
          <w:color w:val="000000"/>
        </w:rPr>
        <w:t>7.10</w:t>
        <w:tab/>
        <w:t>Appointment Of Process Agent.</w:t>
      </w:r>
      <w:bookmarkStart w:id="322" w:name="_DV_M260"/>
      <w:bookmarkEnd w:id="320"/>
      <w:bookmarkEnd w:id="322"/>
      <w:r>
        <w:rPr>
          <w:color w:val="000000"/>
        </w:rPr>
        <w:t xml:space="preserve"> </w:t>
      </w:r>
    </w:p>
    <w:p>
      <w:pPr>
        <w:pStyle w:val="Normal"/>
        <w:tabs>
          <w:tab w:val="clear" w:pos="720"/>
          <w:tab w:val="left" w:pos="540" w:leader="none"/>
        </w:tabs>
        <w:spacing w:lineRule="atLeast" w:line="240"/>
        <w:jc w:val="both"/>
        <w:rPr/>
      </w:pPr>
      <w:bookmarkStart w:id="323" w:name="_DV_M261"/>
      <w:bookmarkEnd w:id="323"/>
      <w:r>
        <w:rPr>
          <w:color w:val="000000"/>
        </w:rPr>
        <w:t>Prior to the Closing Date, and, where applicable, in accordance with Article 1317 of the Brazilian Code, (a) each of Enron Corp. and the Borrowers shall irrevocably designate and appoint an agent satisfactory to the Lenders for service of process in the District of Columbia</w:t>
      </w:r>
      <w:bookmarkStart w:id="324" w:name="_DV_C2"/>
      <w:r>
        <w:rPr>
          <w:rStyle w:val="DeltaViewDeletion"/>
        </w:rPr>
        <w:t xml:space="preserve"> and the State of New York</w:t>
      </w:r>
      <w:bookmarkStart w:id="325" w:name="_DV_M262"/>
      <w:bookmarkEnd w:id="324"/>
      <w:bookmarkEnd w:id="325"/>
      <w:r>
        <w:rPr>
          <w:color w:val="000000"/>
        </w:rPr>
        <w:t xml:space="preserve"> in the United States of America and (b) SOTL shall irrevocably designate and appoint an agent satisfactory to the lenders for service of process in London, England, in each case as its authorized agent to receive, accept, and forward on its behalf service of process in any such proceeding, and shall provide the Lenders with evidence of the prepayment in full of the fees of such agent.  Each Sponsor and Borrower agrees that service of process, writ, judgment, or other notice of legal process (including service by mail) upon said agents shall be deemed and held in every respect to be effective personal service upon them.  Each Sponsor shall maintain such appointment (or that of a successor satisfactory to the Lenders) continuously in effect at all times until the date six months after the Final Loan Maturity Date.  Nothing herein shall affect the Lenders' right to serve process in any other manner permitted by Applicable Law. </w:t>
      </w:r>
    </w:p>
    <w:p>
      <w:pPr>
        <w:pStyle w:val="a"/>
        <w:ind w:hanging="0" w:start="0" w:end="0"/>
        <w:rPr>
          <w:b/>
          <w:bCs/>
          <w:color w:val="000000"/>
        </w:rPr>
      </w:pPr>
      <w:bookmarkStart w:id="326" w:name="_DV_M263"/>
      <w:bookmarkEnd w:id="326"/>
      <w:r>
        <w:rPr>
          <w:b/>
          <w:bCs/>
          <w:color w:val="000000"/>
        </w:rPr>
        <w:t>7.11</w:t>
        <w:tab/>
        <w:t>Waiver of Litigation Payment.</w:t>
      </w:r>
    </w:p>
    <w:p>
      <w:pPr>
        <w:pStyle w:val="Normal"/>
        <w:keepLines/>
        <w:spacing w:lineRule="exact" w:line="288" w:before="0" w:after="288"/>
        <w:jc w:val="both"/>
        <w:rPr/>
      </w:pPr>
      <w:bookmarkStart w:id="327" w:name="_DV_M264"/>
      <w:bookmarkEnd w:id="327"/>
      <w:r>
        <w:rPr>
          <w:color w:val="000000"/>
        </w:rPr>
        <w:t xml:space="preserve">In the event that any action or lawsuit is initiated by or on behalf of any Secured Party in Bolivia, Brazil, or elsewhere against either Sponsor, or any other party to any Financing Document, the Sponsors to the fullest extent permissible under Applicable Law, irrevocably waive their respective rights to, and agree not to request, plead, or claim that the plaintiff post, pay, or offer, any </w:t>
      </w:r>
      <w:r>
        <w:rPr>
          <w:i/>
          <w:iCs/>
          <w:color w:val="000000"/>
        </w:rPr>
        <w:t>cautio judicatum solvi</w:t>
      </w:r>
      <w:r>
        <w:rPr>
          <w:color w:val="000000"/>
        </w:rPr>
        <w:t xml:space="preserve"> bond, litigation bond, or any other bond, fee payment, or security measure provided for by any provision of law applicable to such action or lawsuit (any such bond, fee, payment, or measure, a </w:t>
      </w:r>
      <w:r>
        <w:rPr>
          <w:b/>
          <w:bCs/>
          <w:i/>
          <w:iCs/>
          <w:color w:val="000000"/>
        </w:rPr>
        <w:t>Litigation Payment</w:t>
      </w:r>
      <w:r>
        <w:rPr>
          <w:color w:val="000000"/>
        </w:rPr>
        <w:t>)</w:t>
      </w:r>
      <w:r>
        <w:rPr>
          <w:i/>
          <w:iCs/>
          <w:color w:val="000000"/>
        </w:rPr>
        <w:t>,</w:t>
      </w:r>
      <w:r>
        <w:rPr>
          <w:color w:val="000000"/>
        </w:rPr>
        <w:t xml:space="preserve"> and each Sponsor further waives any objection it may now or hereafter have to plaintiff’s claim that such plaintiff should be exempt or immune from posting, making, or offering any such Litigation Payment.</w:t>
      </w:r>
    </w:p>
    <w:p>
      <w:pPr>
        <w:pStyle w:val="Heading3"/>
        <w:ind w:hanging="0" w:start="0"/>
        <w:rPr>
          <w:color w:val="000000"/>
        </w:rPr>
      </w:pPr>
      <w:bookmarkStart w:id="328" w:name="__RefHeading___Toc495746164"/>
      <w:bookmarkStart w:id="329" w:name="_DV_M265"/>
      <w:bookmarkEnd w:id="328"/>
      <w:bookmarkEnd w:id="329"/>
      <w:r>
        <w:rPr>
          <w:color w:val="000000"/>
        </w:rPr>
        <w:t>7.12</w:t>
        <w:tab/>
        <w:t>Counterparts.</w:t>
      </w:r>
    </w:p>
    <w:p>
      <w:pPr>
        <w:pStyle w:val="BodyText"/>
        <w:rPr>
          <w:color w:val="000000"/>
        </w:rPr>
      </w:pPr>
      <w:bookmarkStart w:id="330" w:name="_DV_M266"/>
      <w:bookmarkEnd w:id="330"/>
      <w:r>
        <w:rPr>
          <w:color w:val="000000"/>
        </w:rPr>
        <w:t xml:space="preserve">This Agreement may be executed in one or more duplicate counterparts and when signed by all of the parties shall constitute a single binding agreement. </w:t>
      </w:r>
    </w:p>
    <w:p>
      <w:pPr>
        <w:pStyle w:val="Heading3"/>
        <w:ind w:hanging="0" w:start="0"/>
        <w:rPr>
          <w:color w:val="000000"/>
        </w:rPr>
      </w:pPr>
      <w:bookmarkStart w:id="331" w:name="__RefHeading___Toc495746165"/>
      <w:bookmarkStart w:id="332" w:name="_DV_M267"/>
      <w:bookmarkEnd w:id="331"/>
      <w:bookmarkEnd w:id="332"/>
      <w:r>
        <w:rPr>
          <w:color w:val="000000"/>
        </w:rPr>
        <w:t>7.13</w:t>
        <w:tab/>
        <w:t>Severability.</w:t>
      </w:r>
    </w:p>
    <w:p>
      <w:pPr>
        <w:pStyle w:val="BodyText"/>
        <w:rPr>
          <w:color w:val="000000"/>
        </w:rPr>
      </w:pPr>
      <w:bookmarkStart w:id="333" w:name="_DV_M268"/>
      <w:bookmarkEnd w:id="333"/>
      <w:r>
        <w:rPr>
          <w:color w:val="000000"/>
        </w:rPr>
        <w:t>If any provision of this Agreement is prohibited or held to be invalid, illegal, or unenforceable in any jurisdiction, the parties hereto agree to the fullest extent permitted by law that (i) the validity, legality, and enforceability of the other provisions in such jurisdiction shall not be affected or impaired thereby, and (ii) any such prohibition, invalidity, illegality, or unenforceability shall not render such provision prohibited, invalid, illegal, or unenforceable in any other jurisdiction.</w:t>
      </w:r>
    </w:p>
    <w:p>
      <w:pPr>
        <w:pStyle w:val="Heading3"/>
        <w:ind w:hanging="0" w:start="0"/>
        <w:rPr>
          <w:color w:val="000000"/>
        </w:rPr>
      </w:pPr>
      <w:bookmarkStart w:id="334" w:name="__RefHeading___Toc495746166"/>
      <w:bookmarkStart w:id="335" w:name="_DV_M269"/>
      <w:bookmarkEnd w:id="334"/>
      <w:bookmarkEnd w:id="335"/>
      <w:r>
        <w:rPr>
          <w:color w:val="000000"/>
        </w:rPr>
        <w:t>7.14</w:t>
        <w:tab/>
        <w:t>Waiver of Jury Trial.</w:t>
      </w:r>
    </w:p>
    <w:p>
      <w:pPr>
        <w:pStyle w:val="BodyText"/>
        <w:rPr>
          <w:color w:val="000000"/>
        </w:rPr>
      </w:pPr>
      <w:bookmarkStart w:id="336" w:name="_DV_M270"/>
      <w:bookmarkEnd w:id="336"/>
      <w:r>
        <w:rPr>
          <w:color w:val="000000"/>
        </w:rPr>
        <w:t>EACH OF THE PARTIES HERETO HEREBY KNOWINGLY, VOLUNTARILY, AND INTENTIONALLY WAIVES ANY RIGHTS SUCH PARTY MAY HAVE TO A TRIAL BY JURY IN RESPECT OF ANY LITIGATION BASED HEREON, OR ARISING OUT OF, UNDER, OR IN CONNECTION WITH, THIS AGREEMENT OR ANY OTHER FINANCING DOCUMENT, OR ANY COURSE OF CONDUCT, COURSE OF DEALING, STATEMENTS (WHETHER VERBAL OR WRITTEN), OR ACTIONS OF THE BORROWERS.  THIS PROVISION IS A MATERIAL INDUCEMENT FOR EACH FINANCING PARTY TO ENTER INTO THIS AGREEMENT AND THE OTHER FINANCING DOCUMENTS.</w:t>
      </w:r>
    </w:p>
    <w:p>
      <w:pPr>
        <w:pStyle w:val="Heading3"/>
        <w:ind w:hanging="0" w:start="0"/>
        <w:rPr>
          <w:color w:val="000000"/>
        </w:rPr>
      </w:pPr>
      <w:bookmarkStart w:id="337" w:name="__RefHeading___Toc495746167"/>
      <w:bookmarkStart w:id="338" w:name="_DV_M271"/>
      <w:bookmarkEnd w:id="337"/>
      <w:bookmarkEnd w:id="338"/>
      <w:r>
        <w:rPr>
          <w:color w:val="000000"/>
        </w:rPr>
        <w:t>7.15</w:t>
        <w:tab/>
        <w:t>Agents.</w:t>
      </w:r>
    </w:p>
    <w:p>
      <w:pPr>
        <w:pStyle w:val="BodyText"/>
        <w:rPr>
          <w:color w:val="000000"/>
        </w:rPr>
      </w:pPr>
      <w:bookmarkStart w:id="339" w:name="_DV_M272"/>
      <w:bookmarkEnd w:id="339"/>
      <w:r>
        <w:rPr>
          <w:color w:val="000000"/>
        </w:rPr>
        <w:t>The Common Agent may perform any duties hereunder either directly or by or through agents, attorneys, custodians, or nominees appointed with due care and in good faith, and shall not be responsible for any willful misconduct or negligence on the part of any agent, attorney, custodian, or nominee so appointed.</w:t>
      </w:r>
    </w:p>
    <w:p>
      <w:pPr>
        <w:pStyle w:val="Heading3"/>
        <w:ind w:hanging="0" w:start="0"/>
        <w:rPr>
          <w:color w:val="000000"/>
        </w:rPr>
      </w:pPr>
      <w:bookmarkStart w:id="340" w:name="__RefHeading___Toc495746168"/>
      <w:bookmarkStart w:id="341" w:name="_DV_M273"/>
      <w:bookmarkEnd w:id="340"/>
      <w:bookmarkEnd w:id="341"/>
      <w:r>
        <w:rPr>
          <w:color w:val="000000"/>
        </w:rPr>
        <w:t>7.16</w:t>
        <w:tab/>
        <w:t>Entire Agreement.</w:t>
      </w:r>
    </w:p>
    <w:p>
      <w:pPr>
        <w:pStyle w:val="BodyText"/>
        <w:rPr>
          <w:color w:val="000000"/>
        </w:rPr>
      </w:pPr>
      <w:bookmarkStart w:id="342" w:name="_DV_M274"/>
      <w:bookmarkEnd w:id="342"/>
      <w:r>
        <w:rPr>
          <w:color w:val="000000"/>
        </w:rPr>
        <w:t>This Agreement, including any agreement, document, or instrument attached hereto or referred to herein, embodies the entire agreement and understanding of the parties hereto and supersedes all prior agreements and understandings of the parties hereto relating to the subject matter herein contained.</w:t>
      </w:r>
    </w:p>
    <w:p>
      <w:pPr>
        <w:pStyle w:val="Heading3"/>
        <w:ind w:hanging="0" w:start="0"/>
        <w:rPr>
          <w:color w:val="000000"/>
        </w:rPr>
      </w:pPr>
      <w:bookmarkStart w:id="343" w:name="__RefHeading___Toc495746169"/>
      <w:bookmarkStart w:id="344" w:name="_DV_M275"/>
      <w:bookmarkEnd w:id="343"/>
      <w:bookmarkEnd w:id="344"/>
      <w:r>
        <w:rPr>
          <w:color w:val="000000"/>
        </w:rPr>
        <w:t>7.17</w:t>
        <w:tab/>
        <w:t>THIRD PARTY BENEFICIARIES.</w:t>
      </w:r>
    </w:p>
    <w:p>
      <w:pPr>
        <w:pStyle w:val="BodyText"/>
        <w:rPr>
          <w:b/>
          <w:bCs/>
          <w:color w:val="000000"/>
        </w:rPr>
      </w:pPr>
      <w:bookmarkStart w:id="345" w:name="_DV_M276"/>
      <w:bookmarkEnd w:id="345"/>
      <w:r>
        <w:rPr>
          <w:b/>
          <w:bCs/>
          <w:color w:val="000000"/>
        </w:rPr>
        <w:t>THE AGREEMENTS OF THE PARTIES HERETO ARE SOLELY FOR THE BENEFIT OF THE BORROWERS, THE SPONSORS, AND THE SECURED PARTIES, AND NO PERSON (OTHER THAN THE PARTIES HERETO, THE SECURED PARTIES AND THEIR SUCCESSORS AND ASSIGNS PERMITTED HEREUNDER) SHALL HAVE ANY RIGHTS HEREUNDER.</w:t>
      </w:r>
    </w:p>
    <w:p>
      <w:pPr>
        <w:pStyle w:val="BodyText"/>
        <w:rPr>
          <w:b/>
          <w:bCs/>
          <w:color w:val="000000"/>
        </w:rPr>
      </w:pPr>
      <w:bookmarkStart w:id="346" w:name="_DV_M277"/>
      <w:bookmarkEnd w:id="346"/>
      <w:r>
        <w:rPr>
          <w:b/>
          <w:bCs/>
          <w:color w:val="000000"/>
        </w:rPr>
        <w:t>7.18</w:t>
        <w:tab/>
        <w:t>Judgment Currency.</w:t>
      </w:r>
    </w:p>
    <w:p>
      <w:pPr>
        <w:pStyle w:val="a"/>
        <w:ind w:firstLine="720" w:start="0" w:end="0"/>
        <w:rPr/>
      </w:pPr>
      <w:bookmarkStart w:id="347" w:name="_DV_M278"/>
      <w:bookmarkEnd w:id="347"/>
      <w:r>
        <w:rPr>
          <w:color w:val="000000"/>
        </w:rPr>
        <w:t>(a)</w:t>
        <w:tab/>
        <w:t xml:space="preserve">The transactions contemplated hereunder constitute international financing transactions in which the specification of U.S. Dollars is of the essence.  The obligations of the Sponsors hereunder to make payments in U.S. Dollars shall not be discharged or satisfied by any tender or recovery pursuant to any judgment expressed in or converted into any currency other than U.S. Dollars, except to the extent that such tender or recovery results in the effective receipt by the respective Secured Party of the full amount of U.S. Dollars expressed to be payable or due to such Person under this Agreement.  If, for the purpose of obtaining or enforcing judgment against the Sponsors in any court or in any jurisdiction, it becomes necessary to convert into or from any currency other than U.S. Dollars (such other currency being hereinafter referred to as the </w:t>
      </w:r>
      <w:r>
        <w:rPr>
          <w:b/>
          <w:bCs/>
          <w:i/>
          <w:iCs/>
          <w:color w:val="000000"/>
        </w:rPr>
        <w:t>Judgment Currency</w:t>
      </w:r>
      <w:r>
        <w:rPr>
          <w:color w:val="000000"/>
        </w:rPr>
        <w:t xml:space="preserve">) an amount due in U.S. Dollars, the conversion shall be made, at the rate of exchange (as quoted by financial institution acting as the Common Agent under the Common Agreement or if the Common Agent does not quote a rate of exchange on such currency, by a known dealer in such currency designated by the Lenders) determined, in each case, on the Business Day immediately preceding the Business Day on which the judgment is given (such Business Day being hereinafter referred to as the </w:t>
      </w:r>
      <w:r>
        <w:rPr>
          <w:b/>
          <w:bCs/>
          <w:i/>
          <w:iCs/>
          <w:color w:val="000000"/>
        </w:rPr>
        <w:t>Judgment Currency Conversion Date</w:t>
      </w:r>
      <w:r>
        <w:rPr>
          <w:color w:val="000000"/>
        </w:rPr>
        <w:t xml:space="preserve">). </w:t>
      </w:r>
    </w:p>
    <w:p>
      <w:pPr>
        <w:pStyle w:val="BodyText"/>
        <w:ind w:firstLine="720" w:end="0"/>
        <w:rPr>
          <w:color w:val="000000"/>
        </w:rPr>
      </w:pPr>
      <w:bookmarkStart w:id="348" w:name="_DV_M279"/>
      <w:bookmarkEnd w:id="348"/>
      <w:r>
        <w:rPr>
          <w:color w:val="000000"/>
        </w:rPr>
        <w:t>(b)</w:t>
        <w:tab/>
        <w:t>If there is a change in the rate of exchange prevailing between the Judgment Currency Conversion Date and the date of actual payment of the amount due, the Sponsors covenant to pay, or cause to be paid, such additional amounts, if any (but in any event not a lesser amount), as may be necessary to ensure that the amount paid in the Judgment Currency, when converted at the rate of exchange prevailing on the date of payment, will produce the amount of the U.S. Dollars which could have been purchased with the amount of Judgment Currency stipulated in the judgment or judicial award at the rate of exchange prevailing on the Judgment Currency Conversion Date.</w:t>
      </w:r>
    </w:p>
    <w:p>
      <w:pPr>
        <w:pStyle w:val="BodyText"/>
        <w:ind w:firstLine="720" w:end="0"/>
        <w:rPr>
          <w:color w:val="000000"/>
        </w:rPr>
      </w:pPr>
      <w:bookmarkStart w:id="349" w:name="_DV_M280"/>
      <w:bookmarkEnd w:id="349"/>
      <w:r>
        <w:rPr>
          <w:color w:val="000000"/>
        </w:rPr>
        <w:t>(c)</w:t>
        <w:tab/>
        <w:t>For purposes of determining the rate of exchange referred in clause (a) above, such amounts shall include any premium and costs payable in connection with the purchase of U.S. Dollars.</w:t>
      </w:r>
    </w:p>
    <w:p>
      <w:pPr>
        <w:pStyle w:val="BodyText"/>
        <w:rPr/>
      </w:pPr>
      <w:bookmarkStart w:id="350" w:name="_DV_M281"/>
      <w:bookmarkEnd w:id="350"/>
      <w:r>
        <w:rPr>
          <w:b/>
          <w:bCs/>
          <w:color w:val="000000"/>
        </w:rPr>
        <w:t>7.19</w:t>
        <w:tab/>
        <w:t xml:space="preserve">Expenses.  </w:t>
      </w:r>
      <w:r>
        <w:rPr>
          <w:color w:val="000000"/>
        </w:rPr>
        <w:t xml:space="preserve"> </w:t>
      </w:r>
    </w:p>
    <w:p>
      <w:pPr>
        <w:pStyle w:val="BodyText"/>
        <w:rPr/>
      </w:pPr>
      <w:bookmarkStart w:id="351" w:name="_DV_M282"/>
      <w:bookmarkEnd w:id="351"/>
      <w:r>
        <w:rPr>
          <w:color w:val="000000"/>
        </w:rPr>
        <w:t>Each Sponsor will upon demand pay to each Agent and Lender its pro rata share (with respect to Enron Corp., 63.4%</w:t>
      </w:r>
      <w:r>
        <w:rPr>
          <w:b/>
          <w:bCs/>
          <w:color w:val="000000"/>
        </w:rPr>
        <w:t xml:space="preserve"> </w:t>
      </w:r>
      <w:r>
        <w:rPr>
          <w:color w:val="000000"/>
        </w:rPr>
        <w:t>and, with respect to SOTL, 36.6%) all reasonable fees and expenses, including attorney's fees and expenses, incurred by it in connection with the exercise or enforcement of any of its rights or interests under this Agreement.</w:t>
      </w:r>
    </w:p>
    <w:p>
      <w:pPr>
        <w:pStyle w:val="BodyText"/>
        <w:rPr>
          <w:color w:val="000000"/>
        </w:rPr>
      </w:pPr>
      <w:bookmarkStart w:id="352" w:name="_DV_M283"/>
      <w:bookmarkEnd w:id="352"/>
      <w:r>
        <w:rPr>
          <w:b/>
          <w:bCs/>
          <w:color w:val="000000"/>
        </w:rPr>
        <w:t>7.20</w:t>
        <w:tab/>
        <w:t>Time of Essence.</w:t>
      </w:r>
    </w:p>
    <w:p>
      <w:pPr>
        <w:pStyle w:val="BodyText"/>
        <w:rPr>
          <w:color w:val="000000"/>
        </w:rPr>
      </w:pPr>
      <w:bookmarkStart w:id="353" w:name="_DV_M284"/>
      <w:bookmarkEnd w:id="353"/>
      <w:r>
        <w:rPr>
          <w:color w:val="000000"/>
        </w:rPr>
        <w:t xml:space="preserve">The parties hereto agree that time shall be of the essence of this Agreement.  </w:t>
      </w:r>
      <w:r>
        <w:br w:type="page"/>
      </w:r>
    </w:p>
    <w:p>
      <w:pPr>
        <w:pStyle w:val="BodyText"/>
        <w:rPr/>
      </w:pPr>
      <w:bookmarkStart w:id="354" w:name="_DV_M285"/>
      <w:bookmarkEnd w:id="354"/>
      <w:r>
        <w:rPr>
          <w:b/>
          <w:bCs/>
          <w:color w:val="000000"/>
        </w:rPr>
        <w:t>IN WITNESS WHEREOF</w:t>
      </w:r>
      <w:r>
        <w:rPr>
          <w:color w:val="000000"/>
        </w:rPr>
        <w:t>, the parties hereto have caused this Agreement to be duly executed and delivered as of the day and year first above written.</w:t>
      </w:r>
    </w:p>
    <w:p>
      <w:pPr>
        <w:pStyle w:val="BodyText"/>
        <w:rPr>
          <w:caps/>
          <w:color w:val="000000"/>
        </w:rPr>
      </w:pPr>
      <w:r>
        <w:rPr>
          <w:caps/>
          <w:color w:val="000000"/>
        </w:rPr>
      </w:r>
    </w:p>
    <w:p>
      <w:pPr>
        <w:pStyle w:val="BodyText"/>
        <w:numPr>
          <w:ilvl w:val="0"/>
          <w:numId w:val="0"/>
        </w:numPr>
        <w:outlineLvl w:val="0"/>
        <w:rPr>
          <w:b/>
          <w:bCs/>
          <w:caps/>
          <w:color w:val="000000"/>
        </w:rPr>
      </w:pPr>
      <w:bookmarkStart w:id="355" w:name="_DV_M286"/>
      <w:bookmarkEnd w:id="355"/>
      <w:r>
        <w:rPr>
          <w:b/>
          <w:bCs/>
          <w:caps/>
          <w:color w:val="000000"/>
        </w:rPr>
        <w:t>SHELL OVERSEAS TRADING LIMITED</w:t>
      </w:r>
    </w:p>
    <w:p>
      <w:pPr>
        <w:pStyle w:val="BodyText"/>
        <w:rPr>
          <w:b/>
          <w:bCs/>
          <w:caps/>
          <w:color w:val="000000"/>
        </w:rPr>
      </w:pPr>
      <w:r>
        <w:rPr>
          <w:b/>
          <w:bCs/>
          <w:caps/>
          <w:color w:val="000000"/>
        </w:rPr>
      </w:r>
    </w:p>
    <w:p>
      <w:pPr>
        <w:pStyle w:val="BodyText"/>
        <w:spacing w:before="0" w:after="0"/>
        <w:jc w:val="start"/>
        <w:rPr>
          <w:color w:val="000000"/>
        </w:rPr>
      </w:pPr>
      <w:bookmarkStart w:id="356" w:name="_DV_M287"/>
      <w:bookmarkEnd w:id="356"/>
      <w:r>
        <w:rPr>
          <w:color w:val="000000"/>
        </w:rPr>
        <w:t xml:space="preserve">By: </w:t>
        <w:tab/>
        <w:t>_________________________________</w:t>
        <w:br/>
        <w:t>Name:</w:t>
        <w:tab/>
        <w:t>_________________________________</w:t>
      </w:r>
    </w:p>
    <w:p>
      <w:pPr>
        <w:pStyle w:val="BodyText"/>
        <w:jc w:val="start"/>
        <w:rPr>
          <w:color w:val="000000"/>
        </w:rPr>
      </w:pPr>
      <w:bookmarkStart w:id="357" w:name="_DV_M288"/>
      <w:bookmarkEnd w:id="357"/>
      <w:r>
        <w:rPr>
          <w:color w:val="000000"/>
        </w:rPr>
        <w:t>Title:</w:t>
        <w:tab/>
        <w:t>_________________________________</w:t>
      </w:r>
    </w:p>
    <w:p>
      <w:pPr>
        <w:pStyle w:val="BodyText"/>
        <w:jc w:val="start"/>
        <w:rPr>
          <w:color w:val="000000"/>
        </w:rPr>
      </w:pPr>
      <w:r>
        <w:rPr>
          <w:color w:val="000000"/>
        </w:rPr>
      </w:r>
      <w:r>
        <w:br w:type="page"/>
      </w:r>
    </w:p>
    <w:p>
      <w:pPr>
        <w:pStyle w:val="BodyText"/>
        <w:numPr>
          <w:ilvl w:val="0"/>
          <w:numId w:val="0"/>
        </w:numPr>
        <w:jc w:val="start"/>
        <w:outlineLvl w:val="0"/>
        <w:rPr>
          <w:b/>
          <w:bCs/>
          <w:color w:val="000000"/>
        </w:rPr>
      </w:pPr>
      <w:bookmarkStart w:id="358" w:name="_DV_M289"/>
      <w:bookmarkEnd w:id="358"/>
      <w:r>
        <w:rPr>
          <w:b/>
          <w:bCs/>
          <w:color w:val="000000"/>
        </w:rPr>
        <w:t>ENRON CORP.</w:t>
      </w:r>
    </w:p>
    <w:p>
      <w:pPr>
        <w:pStyle w:val="BodyText"/>
        <w:rPr>
          <w:b/>
          <w:bCs/>
          <w:caps/>
          <w:color w:val="000000"/>
        </w:rPr>
      </w:pPr>
      <w:r>
        <w:rPr>
          <w:b/>
          <w:bCs/>
          <w:caps/>
          <w:color w:val="000000"/>
        </w:rPr>
      </w:r>
    </w:p>
    <w:p>
      <w:pPr>
        <w:pStyle w:val="BodyText"/>
        <w:spacing w:before="0" w:after="0"/>
        <w:jc w:val="start"/>
        <w:rPr>
          <w:color w:val="000000"/>
        </w:rPr>
      </w:pPr>
      <w:bookmarkStart w:id="359" w:name="_DV_M290"/>
      <w:bookmarkEnd w:id="359"/>
      <w:r>
        <w:rPr>
          <w:color w:val="000000"/>
        </w:rPr>
        <w:t xml:space="preserve">By: </w:t>
        <w:tab/>
        <w:t>_________________________________</w:t>
        <w:br/>
        <w:t>Name:</w:t>
        <w:tab/>
        <w:t>_________________________________</w:t>
      </w:r>
    </w:p>
    <w:p>
      <w:pPr>
        <w:pStyle w:val="BodyText"/>
        <w:jc w:val="start"/>
        <w:rPr>
          <w:color w:val="000000"/>
        </w:rPr>
      </w:pPr>
      <w:bookmarkStart w:id="360" w:name="_DV_M291"/>
      <w:bookmarkEnd w:id="360"/>
      <w:r>
        <w:rPr>
          <w:color w:val="000000"/>
        </w:rPr>
        <w:t>Title:</w:t>
        <w:tab/>
        <w:t>_________________________________</w:t>
      </w:r>
      <w:r>
        <w:br w:type="page"/>
      </w:r>
    </w:p>
    <w:p>
      <w:pPr>
        <w:pStyle w:val="BodyText"/>
        <w:jc w:val="start"/>
        <w:rPr/>
      </w:pPr>
      <w:bookmarkStart w:id="361" w:name="_DV_M292"/>
      <w:bookmarkEnd w:id="361"/>
      <w:r>
        <w:rPr>
          <w:b/>
          <w:bCs/>
          <w:smallCaps/>
          <w:color w:val="000000"/>
          <w:lang w:val="en-GB"/>
        </w:rPr>
        <w:t>EPE-</w:t>
      </w:r>
      <w:r>
        <w:rPr>
          <w:b/>
          <w:bCs/>
          <w:color w:val="000000"/>
          <w:lang w:val="en-GB"/>
        </w:rPr>
        <w:t xml:space="preserve">EMPRESA PRODUTORA DE </w:t>
        <w:br/>
        <w:t>ENERGIA LTDA.</w:t>
      </w:r>
    </w:p>
    <w:p>
      <w:pPr>
        <w:pStyle w:val="BodyText"/>
        <w:rPr>
          <w:b/>
          <w:bCs/>
          <w:caps/>
          <w:color w:val="000000"/>
          <w:lang w:val="en-GB"/>
        </w:rPr>
      </w:pPr>
      <w:r>
        <w:rPr>
          <w:b/>
          <w:bCs/>
          <w:caps/>
          <w:color w:val="000000"/>
          <w:lang w:val="en-GB"/>
        </w:rPr>
      </w:r>
    </w:p>
    <w:p>
      <w:pPr>
        <w:pStyle w:val="BodyText"/>
        <w:spacing w:before="0" w:after="0"/>
        <w:jc w:val="start"/>
        <w:rPr>
          <w:color w:val="000000"/>
        </w:rPr>
      </w:pPr>
      <w:bookmarkStart w:id="362" w:name="_DV_M293"/>
      <w:bookmarkEnd w:id="362"/>
      <w:r>
        <w:rPr>
          <w:color w:val="000000"/>
        </w:rPr>
        <w:t xml:space="preserve">By: </w:t>
        <w:tab/>
        <w:t>_________________________________</w:t>
        <w:br/>
        <w:t>Name:</w:t>
        <w:tab/>
        <w:t>_________________________________</w:t>
      </w:r>
    </w:p>
    <w:p>
      <w:pPr>
        <w:pStyle w:val="BodyText"/>
        <w:jc w:val="start"/>
        <w:rPr>
          <w:color w:val="000000"/>
        </w:rPr>
      </w:pPr>
      <w:bookmarkStart w:id="363" w:name="_DV_M294"/>
      <w:bookmarkEnd w:id="363"/>
      <w:r>
        <w:rPr>
          <w:color w:val="000000"/>
        </w:rPr>
        <w:t>Title:</w:t>
        <w:tab/>
        <w:t>_________________________________</w:t>
      </w:r>
    </w:p>
    <w:p>
      <w:pPr>
        <w:pStyle w:val="BodyText"/>
        <w:rPr>
          <w:caps/>
          <w:color w:val="000000"/>
        </w:rPr>
      </w:pPr>
      <w:r>
        <w:rPr>
          <w:caps/>
          <w:color w:val="000000"/>
        </w:rPr>
      </w:r>
    </w:p>
    <w:p>
      <w:pPr>
        <w:pStyle w:val="BodyText"/>
        <w:jc w:val="start"/>
        <w:rPr>
          <w:caps/>
          <w:color w:val="000000"/>
          <w:lang w:val="es-ES"/>
        </w:rPr>
      </w:pPr>
      <w:r>
        <w:rPr>
          <w:caps/>
          <w:color w:val="000000"/>
          <w:lang w:val="es-ES"/>
        </w:rPr>
      </w:r>
      <w:r>
        <w:br w:type="page"/>
      </w:r>
    </w:p>
    <w:p>
      <w:pPr>
        <w:pStyle w:val="BodyText"/>
        <w:rPr>
          <w:b/>
          <w:bCs/>
          <w:color w:val="000000"/>
          <w:lang w:val="es-ES"/>
        </w:rPr>
      </w:pPr>
      <w:bookmarkStart w:id="364" w:name="_DV_M295"/>
      <w:bookmarkEnd w:id="364"/>
      <w:r>
        <w:rPr>
          <w:b/>
          <w:bCs/>
          <w:color w:val="000000"/>
          <w:lang w:val="es-ES"/>
        </w:rPr>
        <w:t>GASORIENTE BOLIVIANO LTDA.</w:t>
      </w:r>
    </w:p>
    <w:p>
      <w:pPr>
        <w:pStyle w:val="BodyText"/>
        <w:rPr>
          <w:b/>
          <w:bCs/>
          <w:caps/>
          <w:color w:val="000000"/>
          <w:lang w:val="es-ES"/>
        </w:rPr>
      </w:pPr>
      <w:r>
        <w:rPr>
          <w:b/>
          <w:bCs/>
          <w:caps/>
          <w:color w:val="000000"/>
          <w:lang w:val="es-ES"/>
        </w:rPr>
      </w:r>
    </w:p>
    <w:p>
      <w:pPr>
        <w:pStyle w:val="BodyText"/>
        <w:spacing w:before="0" w:after="0"/>
        <w:jc w:val="start"/>
        <w:rPr>
          <w:color w:val="000000"/>
        </w:rPr>
      </w:pPr>
      <w:bookmarkStart w:id="365" w:name="_DV_M296"/>
      <w:bookmarkEnd w:id="365"/>
      <w:r>
        <w:rPr>
          <w:color w:val="000000"/>
        </w:rPr>
        <w:t xml:space="preserve">By: </w:t>
        <w:tab/>
        <w:t>_________________________________</w:t>
        <w:br/>
        <w:t>Name:</w:t>
        <w:tab/>
        <w:t>_________________________________</w:t>
      </w:r>
    </w:p>
    <w:p>
      <w:pPr>
        <w:pStyle w:val="BodyText"/>
        <w:jc w:val="start"/>
        <w:rPr>
          <w:color w:val="000000"/>
        </w:rPr>
      </w:pPr>
      <w:bookmarkStart w:id="366" w:name="_DV_M297"/>
      <w:bookmarkEnd w:id="366"/>
      <w:r>
        <w:rPr>
          <w:color w:val="000000"/>
        </w:rPr>
        <w:t>Title:</w:t>
        <w:tab/>
        <w:t>_________________________________</w:t>
      </w:r>
      <w:r>
        <w:br w:type="page"/>
      </w:r>
    </w:p>
    <w:p>
      <w:pPr>
        <w:pStyle w:val="BodyText"/>
        <w:rPr>
          <w:b/>
          <w:bCs/>
          <w:color w:val="000000"/>
        </w:rPr>
      </w:pPr>
      <w:bookmarkStart w:id="367" w:name="_DV_M298"/>
      <w:bookmarkEnd w:id="367"/>
      <w:r>
        <w:rPr>
          <w:b/>
          <w:bCs/>
          <w:color w:val="000000"/>
        </w:rPr>
        <w:t>GASOCIDENTE DO MATO GROSSO LTDA.</w:t>
      </w:r>
    </w:p>
    <w:p>
      <w:pPr>
        <w:pStyle w:val="BodyText"/>
        <w:rPr>
          <w:b/>
          <w:bCs/>
          <w:caps/>
          <w:color w:val="000000"/>
        </w:rPr>
      </w:pPr>
      <w:r>
        <w:rPr>
          <w:b/>
          <w:bCs/>
          <w:caps/>
          <w:color w:val="000000"/>
        </w:rPr>
      </w:r>
    </w:p>
    <w:p>
      <w:pPr>
        <w:pStyle w:val="BodyText"/>
        <w:spacing w:before="0" w:after="0"/>
        <w:jc w:val="start"/>
        <w:rPr>
          <w:color w:val="000000"/>
        </w:rPr>
      </w:pPr>
      <w:bookmarkStart w:id="368" w:name="_DV_M299"/>
      <w:bookmarkEnd w:id="368"/>
      <w:r>
        <w:rPr>
          <w:color w:val="000000"/>
        </w:rPr>
        <w:t xml:space="preserve">By: </w:t>
        <w:tab/>
        <w:t>_________________________________</w:t>
        <w:br/>
        <w:t>Name:</w:t>
        <w:tab/>
        <w:t>_________________________________</w:t>
      </w:r>
    </w:p>
    <w:p>
      <w:pPr>
        <w:pStyle w:val="BodyText"/>
        <w:jc w:val="start"/>
        <w:rPr>
          <w:color w:val="000000"/>
        </w:rPr>
      </w:pPr>
      <w:bookmarkStart w:id="369" w:name="_DV_M300"/>
      <w:bookmarkEnd w:id="369"/>
      <w:r>
        <w:rPr>
          <w:color w:val="000000"/>
        </w:rPr>
        <w:t>Title:</w:t>
        <w:tab/>
        <w:t>_________________________________</w:t>
      </w:r>
      <w:r>
        <w:br w:type="page"/>
      </w:r>
    </w:p>
    <w:p>
      <w:pPr>
        <w:pStyle w:val="BodyText"/>
        <w:spacing w:before="0" w:after="0"/>
        <w:jc w:val="start"/>
        <w:rPr>
          <w:b/>
          <w:bCs/>
          <w:color w:val="000000"/>
        </w:rPr>
      </w:pPr>
      <w:bookmarkStart w:id="370" w:name="_DV_M301"/>
      <w:bookmarkEnd w:id="370"/>
      <w:r>
        <w:rPr>
          <w:b/>
          <w:bCs/>
          <w:color w:val="000000"/>
        </w:rPr>
        <w:t>OVERSEAS PRIVATE INVESTMENT CORPORATION</w:t>
      </w:r>
    </w:p>
    <w:p>
      <w:pPr>
        <w:pStyle w:val="BodyText"/>
        <w:spacing w:before="0" w:after="0"/>
        <w:jc w:val="start"/>
        <w:rPr>
          <w:b/>
          <w:bCs/>
          <w:color w:val="000000"/>
        </w:rPr>
      </w:pPr>
      <w:r>
        <w:rPr>
          <w:b/>
          <w:bCs/>
          <w:color w:val="000000"/>
        </w:rPr>
      </w:r>
    </w:p>
    <w:p>
      <w:pPr>
        <w:pStyle w:val="BodyText"/>
        <w:spacing w:before="0" w:after="0"/>
        <w:jc w:val="start"/>
        <w:rPr>
          <w:b/>
          <w:bCs/>
          <w:color w:val="000000"/>
        </w:rPr>
      </w:pPr>
      <w:r>
        <w:rPr>
          <w:b/>
          <w:bCs/>
          <w:color w:val="000000"/>
        </w:rPr>
      </w:r>
    </w:p>
    <w:p>
      <w:pPr>
        <w:pStyle w:val="BodyText"/>
        <w:spacing w:before="0" w:after="0"/>
        <w:jc w:val="start"/>
        <w:rPr>
          <w:b/>
          <w:bCs/>
          <w:color w:val="000000"/>
        </w:rPr>
      </w:pPr>
      <w:r>
        <w:rPr>
          <w:b/>
          <w:bCs/>
          <w:color w:val="000000"/>
        </w:rPr>
      </w:r>
    </w:p>
    <w:p>
      <w:pPr>
        <w:pStyle w:val="BodyText"/>
        <w:spacing w:before="0" w:after="0"/>
        <w:jc w:val="start"/>
        <w:rPr>
          <w:color w:val="000000"/>
        </w:rPr>
      </w:pPr>
      <w:bookmarkStart w:id="371" w:name="_DV_M302"/>
      <w:bookmarkEnd w:id="371"/>
      <w:r>
        <w:rPr>
          <w:color w:val="000000"/>
        </w:rPr>
        <w:t xml:space="preserve">By: </w:t>
        <w:tab/>
        <w:t>_________________________________</w:t>
        <w:br/>
        <w:t>Name:</w:t>
        <w:tab/>
        <w:t>_________________________________</w:t>
      </w:r>
    </w:p>
    <w:p>
      <w:pPr>
        <w:pStyle w:val="BodyText"/>
        <w:jc w:val="start"/>
        <w:rPr>
          <w:color w:val="000000"/>
        </w:rPr>
      </w:pPr>
      <w:bookmarkStart w:id="372" w:name="_DV_M303"/>
      <w:bookmarkEnd w:id="372"/>
      <w:r>
        <w:rPr>
          <w:color w:val="000000"/>
        </w:rPr>
        <w:t>Title:</w:t>
        <w:tab/>
        <w:t>_________________________________</w:t>
      </w:r>
      <w:r>
        <w:br w:type="page"/>
      </w:r>
    </w:p>
    <w:p>
      <w:pPr>
        <w:pStyle w:val="BodyText"/>
        <w:jc w:val="start"/>
        <w:rPr/>
      </w:pPr>
      <w:bookmarkStart w:id="373" w:name="_DV_M304"/>
      <w:bookmarkEnd w:id="373"/>
      <w:r>
        <w:rPr>
          <w:b/>
          <w:bCs/>
          <w:color w:val="000000"/>
        </w:rPr>
        <w:t>KREDITANSTALT F</w:t>
      </w:r>
      <w:r>
        <w:rPr>
          <w:rFonts w:eastAsia="Times New Roman"/>
          <w:b/>
          <w:bCs/>
          <w:color w:val="000000"/>
        </w:rPr>
        <w:t>Ü</w:t>
      </w:r>
      <w:r>
        <w:rPr>
          <w:b/>
          <w:bCs/>
          <w:color w:val="000000"/>
        </w:rPr>
        <w:t>R WIEDERAUFBAU</w:t>
      </w:r>
    </w:p>
    <w:p>
      <w:pPr>
        <w:pStyle w:val="BodyText"/>
        <w:spacing w:before="0" w:after="0"/>
        <w:jc w:val="start"/>
        <w:rPr>
          <w:b/>
          <w:bCs/>
          <w:color w:val="000000"/>
        </w:rPr>
      </w:pPr>
      <w:r>
        <w:rPr>
          <w:b/>
          <w:bCs/>
          <w:color w:val="000000"/>
        </w:rPr>
      </w:r>
    </w:p>
    <w:p>
      <w:pPr>
        <w:pStyle w:val="BodyText"/>
        <w:spacing w:before="0" w:after="0"/>
        <w:jc w:val="start"/>
        <w:rPr>
          <w:b/>
          <w:bCs/>
          <w:color w:val="000000"/>
        </w:rPr>
      </w:pPr>
      <w:r>
        <w:rPr>
          <w:b/>
          <w:bCs/>
          <w:color w:val="000000"/>
        </w:rPr>
      </w:r>
    </w:p>
    <w:p>
      <w:pPr>
        <w:pStyle w:val="BodyText"/>
        <w:spacing w:before="0" w:after="0"/>
        <w:jc w:val="start"/>
        <w:rPr>
          <w:b/>
          <w:bCs/>
          <w:color w:val="000000"/>
        </w:rPr>
      </w:pPr>
      <w:r>
        <w:rPr>
          <w:b/>
          <w:bCs/>
          <w:color w:val="000000"/>
        </w:rPr>
      </w:r>
    </w:p>
    <w:p>
      <w:pPr>
        <w:pStyle w:val="BodyText"/>
        <w:spacing w:before="0" w:after="0"/>
        <w:jc w:val="start"/>
        <w:rPr>
          <w:color w:val="000000"/>
        </w:rPr>
      </w:pPr>
      <w:bookmarkStart w:id="374" w:name="_DV_M305"/>
      <w:bookmarkEnd w:id="374"/>
      <w:r>
        <w:rPr>
          <w:color w:val="000000"/>
        </w:rPr>
        <w:t xml:space="preserve">By: </w:t>
        <w:tab/>
        <w:t>_________________________________</w:t>
        <w:br/>
        <w:t>Name:</w:t>
        <w:tab/>
        <w:t>_________________________________</w:t>
      </w:r>
    </w:p>
    <w:p>
      <w:pPr>
        <w:pStyle w:val="BodyText"/>
        <w:jc w:val="start"/>
        <w:rPr>
          <w:color w:val="000000"/>
        </w:rPr>
      </w:pPr>
      <w:bookmarkStart w:id="375" w:name="_DV_M306"/>
      <w:bookmarkEnd w:id="375"/>
      <w:r>
        <w:rPr>
          <w:color w:val="000000"/>
        </w:rPr>
        <w:t>Title:</w:t>
        <w:tab/>
        <w:t>_________________________________</w:t>
      </w:r>
      <w:r>
        <w:br w:type="page"/>
      </w:r>
    </w:p>
    <w:p>
      <w:pPr>
        <w:pStyle w:val="BodyText"/>
        <w:spacing w:before="0" w:after="0"/>
        <w:jc w:val="start"/>
        <w:rPr/>
      </w:pPr>
      <w:bookmarkStart w:id="376" w:name="_DV_M307"/>
      <w:bookmarkEnd w:id="376"/>
      <w:r>
        <w:rPr>
          <w:b/>
          <w:bCs/>
          <w:color w:val="000000"/>
        </w:rPr>
        <w:t xml:space="preserve">CITIBANK, N.A. </w:t>
      </w:r>
      <w:r>
        <w:rPr>
          <w:color w:val="000000"/>
        </w:rPr>
        <w:br/>
        <w:t xml:space="preserve">not in its individual capacity, but solely </w:t>
      </w:r>
    </w:p>
    <w:p>
      <w:pPr>
        <w:pStyle w:val="BodyText"/>
        <w:jc w:val="start"/>
        <w:rPr>
          <w:color w:val="000000"/>
        </w:rPr>
      </w:pPr>
      <w:bookmarkStart w:id="377" w:name="_DV_M308"/>
      <w:bookmarkEnd w:id="377"/>
      <w:r>
        <w:rPr>
          <w:color w:val="000000"/>
        </w:rPr>
        <w:t>as Common Agent</w:t>
      </w:r>
    </w:p>
    <w:p>
      <w:pPr>
        <w:pStyle w:val="BodyText"/>
        <w:rPr>
          <w:caps/>
          <w:color w:val="000000"/>
        </w:rPr>
      </w:pPr>
      <w:r>
        <w:rPr>
          <w:caps/>
          <w:color w:val="000000"/>
        </w:rPr>
      </w:r>
    </w:p>
    <w:p>
      <w:pPr>
        <w:pStyle w:val="BodyText"/>
        <w:spacing w:before="0" w:after="0"/>
        <w:jc w:val="start"/>
        <w:rPr>
          <w:color w:val="000000"/>
        </w:rPr>
      </w:pPr>
      <w:bookmarkStart w:id="378" w:name="_DV_M309"/>
      <w:bookmarkEnd w:id="378"/>
      <w:r>
        <w:rPr>
          <w:color w:val="000000"/>
        </w:rPr>
        <w:t xml:space="preserve">By: </w:t>
        <w:tab/>
        <w:t>_________________________________</w:t>
        <w:br/>
        <w:t>Name:</w:t>
        <w:tab/>
        <w:t>_________________________________</w:t>
      </w:r>
    </w:p>
    <w:p>
      <w:pPr>
        <w:pStyle w:val="BodyText"/>
        <w:jc w:val="start"/>
        <w:rPr>
          <w:color w:val="000000"/>
        </w:rPr>
      </w:pPr>
      <w:bookmarkStart w:id="379" w:name="_DV_M310"/>
      <w:bookmarkEnd w:id="379"/>
      <w:r>
        <w:rPr>
          <w:color w:val="000000"/>
        </w:rPr>
        <w:t>Title:</w:t>
        <w:tab/>
        <w:t>_________________________________</w:t>
      </w:r>
    </w:p>
    <w:p>
      <w:pPr>
        <w:pStyle w:val="Normal"/>
        <w:rPr>
          <w:color w:val="000000"/>
        </w:rPr>
      </w:pPr>
      <w:r>
        <w:rPr>
          <w:color w:val="000000"/>
        </w:rPr>
      </w:r>
    </w:p>
    <w:p>
      <w:pPr>
        <w:pStyle w:val="Normal"/>
        <w:ind w:firstLine="540" w:start="6480" w:end="0"/>
        <w:jc w:val="end"/>
        <w:rPr>
          <w:color w:val="000000"/>
        </w:rPr>
      </w:pPr>
      <w:r>
        <w:rPr>
          <w:color w:val="000000"/>
        </w:rPr>
      </w:r>
    </w:p>
    <w:p>
      <w:pPr>
        <w:pStyle w:val="Normal"/>
        <w:spacing w:before="0" w:after="240"/>
        <w:ind w:firstLine="540" w:start="6480" w:end="0"/>
        <w:jc w:val="end"/>
        <w:rPr>
          <w:color w:val="000000"/>
        </w:rPr>
      </w:pPr>
      <w:r>
        <w:rPr>
          <w:color w:val="000000"/>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left" w:pos="9090" w:leader="none"/>
      </w:tabs>
      <w:spacing w:lineRule="exact" w:line="200"/>
      <w:rPr/>
    </w:pPr>
    <w:r>
      <w:rPr/>
      <w:tab/>
    </w:r>
  </w:p>
  <w:p>
    <w:pPr>
      <w:pStyle w:val="Footer"/>
      <w:spacing w:lineRule="exact" w:line="200" w:before="0" w:after="240"/>
      <w:rPr>
        <w:u w:val="single"/>
      </w:rPr>
    </w:pPr>
    <w:r>
      <w:rPr>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s>
      <w:spacing w:lineRule="exact" w:line="200"/>
      <w:jc w:val="end"/>
      <w:rPr/>
    </w:pPr>
    <w:r>
      <w:rPr/>
      <w:t>- ii -</w:t>
    </w:r>
  </w:p>
  <w:p>
    <w:pPr>
      <w:pStyle w:val="Footer"/>
      <w:spacing w:lineRule="exact" w:line="200" w:before="0" w:after="240"/>
      <w:rPr>
        <w:u w:val="single"/>
      </w:rPr>
    </w:pPr>
    <w:r>
      <w:rPr>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9090" w:leader="none"/>
      </w:tabs>
      <w:spacing w:lineRule="exact" w:line="200" w:before="0" w:after="240"/>
      <w:ind w:end="360"/>
      <w:rPr/>
    </w:pPr>
    <w:r>
      <w:rPr/>
      <w:tab/>
      <w:t xml:space="preserve">Page </w:t>
    </w:r>
    <w: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0223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02235" cy="116840"/>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05pt;height:9.2pt;mso-wrap-distance-left:0pt;mso-wrap-distance-right:0pt;mso-wrap-distance-top:0pt;mso-wrap-distance-bottom:0pt;margin-top:0.05pt;mso-position-vertical-relative:text;margin-left:459.95pt;mso-position-horizontal:right;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NY003678709/24+ compared with </w:t>
      <w:br/>
      <w:t>NY003678709/ 23 at 11/08/2000 12:02:20 PM</w:t>
    </w:r>
  </w:p>
  <w:p>
    <w:pPr>
      <w:pStyle w:val="Header"/>
      <w:spacing w:before="0" w:after="24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b/>
        <w:bCs/>
        <w:sz w:val="20"/>
        <w:szCs w:val="20"/>
        <w:lang w:val="en-GB"/>
      </w:rPr>
    </w:pPr>
    <w:r>
      <w:rPr>
        <w:b/>
        <w:bCs/>
        <w:sz w:val="20"/>
        <w:szCs w:val="20"/>
        <w:lang w:val="en-GB"/>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sz w:val="20"/>
        <w:szCs w:val="20"/>
      </w:rPr>
    </w:pPr>
    <w:r>
      <w:rPr>
        <w:sz w:val="20"/>
        <w:szCs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PageNumber"/>
      </w:rPr>
      <w:tab/>
    </w:r>
  </w:p>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520"/>
        </w:tabs>
        <w:ind w:start="2520" w:hanging="360"/>
      </w:pPr>
      <w:rPr>
        <w:spacing w:val="0"/>
      </w:rPr>
    </w:lvl>
    <w:lvl w:ilvl="1">
      <w:start w:val="1"/>
      <w:numFmt w:val="decimal"/>
      <w:lvlText w:val="(%2)"/>
      <w:lvlJc w:val="start"/>
      <w:pPr>
        <w:tabs>
          <w:tab w:val="num" w:pos="3240"/>
        </w:tabs>
        <w:ind w:start="3240" w:hanging="360"/>
      </w:pPr>
      <w:rPr>
        <w:spacing w:val="0"/>
      </w:rPr>
    </w:lvl>
    <w:lvl w:ilvl="2">
      <w:start w:val="1"/>
      <w:numFmt w:val="lowerRoman"/>
      <w:lvlText w:val="%3."/>
      <w:lvlJc w:val="end"/>
      <w:pPr>
        <w:tabs>
          <w:tab w:val="num" w:pos="3960"/>
        </w:tabs>
        <w:ind w:start="3960" w:hanging="180"/>
      </w:pPr>
      <w:rPr>
        <w:spacing w:val="0"/>
      </w:rPr>
    </w:lvl>
    <w:lvl w:ilvl="3">
      <w:start w:val="1"/>
      <w:numFmt w:val="decimal"/>
      <w:lvlText w:val="%4."/>
      <w:lvlJc w:val="start"/>
      <w:pPr>
        <w:tabs>
          <w:tab w:val="num" w:pos="4680"/>
        </w:tabs>
        <w:ind w:start="4680" w:hanging="360"/>
      </w:pPr>
      <w:rPr>
        <w:spacing w:val="0"/>
      </w:rPr>
    </w:lvl>
    <w:lvl w:ilvl="4">
      <w:start w:val="1"/>
      <w:numFmt w:val="lowerLetter"/>
      <w:lvlText w:val="%5."/>
      <w:lvlJc w:val="start"/>
      <w:pPr>
        <w:tabs>
          <w:tab w:val="num" w:pos="5400"/>
        </w:tabs>
        <w:ind w:start="5400" w:hanging="360"/>
      </w:pPr>
      <w:rPr>
        <w:spacing w:val="0"/>
      </w:rPr>
    </w:lvl>
    <w:lvl w:ilvl="5">
      <w:start w:val="1"/>
      <w:numFmt w:val="lowerRoman"/>
      <w:lvlText w:val="%6."/>
      <w:lvlJc w:val="end"/>
      <w:pPr>
        <w:tabs>
          <w:tab w:val="num" w:pos="6120"/>
        </w:tabs>
        <w:ind w:start="6120" w:hanging="180"/>
      </w:pPr>
      <w:rPr>
        <w:spacing w:val="0"/>
      </w:rPr>
    </w:lvl>
    <w:lvl w:ilvl="6">
      <w:start w:val="1"/>
      <w:numFmt w:val="decimal"/>
      <w:lvlText w:val="%7."/>
      <w:lvlJc w:val="start"/>
      <w:pPr>
        <w:tabs>
          <w:tab w:val="num" w:pos="6840"/>
        </w:tabs>
        <w:ind w:start="6840" w:hanging="360"/>
      </w:pPr>
      <w:rPr>
        <w:spacing w:val="0"/>
      </w:rPr>
    </w:lvl>
    <w:lvl w:ilvl="7">
      <w:start w:val="1"/>
      <w:numFmt w:val="lowerLetter"/>
      <w:lvlText w:val="%8."/>
      <w:lvlJc w:val="start"/>
      <w:pPr>
        <w:tabs>
          <w:tab w:val="num" w:pos="7560"/>
        </w:tabs>
        <w:ind w:start="7560" w:hanging="360"/>
      </w:pPr>
      <w:rPr>
        <w:spacing w:val="0"/>
      </w:rPr>
    </w:lvl>
    <w:lvl w:ilvl="8">
      <w:start w:val="1"/>
      <w:numFmt w:val="lowerRoman"/>
      <w:lvlText w:val="%9."/>
      <w:lvlJc w:val="end"/>
      <w:pPr>
        <w:tabs>
          <w:tab w:val="num" w:pos="8280"/>
        </w:tabs>
        <w:ind w:start="8280" w:hanging="180"/>
      </w:pPr>
      <w:rPr>
        <w:spacing w:val="0"/>
      </w:rPr>
    </w:lvl>
  </w:abstractNum>
  <w:abstractNum w:abstractNumId="3">
    <w:lvl w:ilvl="0">
      <w:start w:val="2"/>
      <w:numFmt w:val="decimal"/>
      <w:lvlText w:val="%1"/>
      <w:lvlJc w:val="start"/>
      <w:pPr>
        <w:tabs>
          <w:tab w:val="num" w:pos="720"/>
        </w:tabs>
        <w:ind w:start="720" w:hanging="720"/>
      </w:pPr>
      <w:rPr>
        <w:spacing w:val="0"/>
      </w:rPr>
    </w:lvl>
    <w:lvl w:ilvl="1">
      <w:start w:val="2"/>
      <w:numFmt w:val="decimal"/>
      <w:lvlText w:val="%1.%2"/>
      <w:lvlJc w:val="start"/>
      <w:pPr>
        <w:tabs>
          <w:tab w:val="num" w:pos="720"/>
        </w:tabs>
        <w:ind w:start="720" w:hanging="720"/>
      </w:pPr>
      <w:rPr>
        <w:spacing w:val="0"/>
      </w:rPr>
    </w:lvl>
    <w:lvl w:ilvl="2">
      <w:start w:val="1"/>
      <w:numFmt w:val="decimal"/>
      <w:lvlText w:val="%1.%2.%3"/>
      <w:lvlJc w:val="start"/>
      <w:pPr>
        <w:tabs>
          <w:tab w:val="num" w:pos="720"/>
        </w:tabs>
        <w:ind w:start="720" w:hanging="720"/>
      </w:pPr>
      <w:rPr>
        <w:spacing w:val="0"/>
      </w:rPr>
    </w:lvl>
    <w:lvl w:ilvl="3">
      <w:start w:val="1"/>
      <w:numFmt w:val="decimal"/>
      <w:lvlText w:val="%1.%2.%3.%4"/>
      <w:lvlJc w:val="start"/>
      <w:pPr>
        <w:tabs>
          <w:tab w:val="num" w:pos="1080"/>
        </w:tabs>
        <w:ind w:start="1080" w:hanging="1080"/>
      </w:pPr>
      <w:rPr>
        <w:spacing w:val="0"/>
      </w:rPr>
    </w:lvl>
    <w:lvl w:ilvl="4">
      <w:start w:val="1"/>
      <w:numFmt w:val="decimal"/>
      <w:lvlText w:val="%1.%2.%3.%4.%5"/>
      <w:lvlJc w:val="start"/>
      <w:pPr>
        <w:tabs>
          <w:tab w:val="num" w:pos="1440"/>
        </w:tabs>
        <w:ind w:start="1440" w:hanging="1440"/>
      </w:pPr>
      <w:rPr>
        <w:spacing w:val="0"/>
      </w:rPr>
    </w:lvl>
    <w:lvl w:ilvl="5">
      <w:start w:val="1"/>
      <w:numFmt w:val="decimal"/>
      <w:lvlText w:val="%1.%2.%3.%4.%5.%6"/>
      <w:lvlJc w:val="start"/>
      <w:pPr>
        <w:tabs>
          <w:tab w:val="num" w:pos="1440"/>
        </w:tabs>
        <w:ind w:start="1440" w:hanging="1440"/>
      </w:pPr>
      <w:rPr>
        <w:spacing w:val="0"/>
      </w:rPr>
    </w:lvl>
    <w:lvl w:ilvl="6">
      <w:start w:val="1"/>
      <w:numFmt w:val="decimal"/>
      <w:lvlText w:val="%1.%2.%3.%4.%5.%6.%7"/>
      <w:lvlJc w:val="start"/>
      <w:pPr>
        <w:tabs>
          <w:tab w:val="num" w:pos="1800"/>
        </w:tabs>
        <w:ind w:start="1800" w:hanging="1800"/>
      </w:pPr>
      <w:rPr>
        <w:spacing w:val="0"/>
      </w:rPr>
    </w:lvl>
    <w:lvl w:ilvl="7">
      <w:start w:val="1"/>
      <w:numFmt w:val="decimal"/>
      <w:lvlText w:val="%1.%2.%3.%4.%5.%6.%7.%38%8"/>
      <w:lvlJc w:val="start"/>
      <w:pPr>
        <w:tabs>
          <w:tab w:val="num" w:pos="2160"/>
        </w:tabs>
        <w:ind w:start="2160" w:hanging="2160"/>
      </w:pPr>
      <w:rPr>
        <w:spacing w:val="0"/>
      </w:rPr>
    </w:lvl>
    <w:lvl w:ilvl="8">
      <w:start w:val="1"/>
      <w:numFmt w:val="decimal"/>
      <w:lvlText w:val="%1.%2.%3.%4.%5.%6.%738%38%.%8.%9"/>
      <w:lvlJc w:val="start"/>
      <w:pPr>
        <w:tabs>
          <w:tab w:val="num" w:pos="2160"/>
        </w:tabs>
        <w:ind w:start="2160" w:hanging="2160"/>
      </w:pPr>
      <w:rPr>
        <w:spacing w:val="0"/>
      </w:rPr>
    </w:lvl>
  </w:abstractNum>
  <w:abstractNum w:abstractNumId="4">
    <w:lvl w:ilvl="0">
      <w:start w:val="1"/>
      <w:numFmt w:val="none"/>
      <w:suff w:val="nothing"/>
      <w:lvlText w:val=""/>
      <w:lvlJc w:val="start"/>
      <w:pPr>
        <w:tabs>
          <w:tab w:val="num" w:pos="0"/>
        </w:tabs>
        <w:ind w:start="0" w:hanging="0"/>
      </w:pPr>
      <w:rPr>
        <w:spacing w:val="0"/>
      </w:rPr>
    </w:lvl>
  </w:abstractNum>
  <w:abstractNum w:abstractNumId="5">
    <w:lvl w:ilvl="0">
      <w:start w:val="1"/>
      <w:numFmt w:val="none"/>
      <w:suff w:val="nothing"/>
      <w:lvlText w:val=""/>
      <w:lvlJc w:val="start"/>
      <w:pPr>
        <w:tabs>
          <w:tab w:val="num" w:pos="0"/>
        </w:tabs>
        <w:ind w:start="0" w:hanging="0"/>
      </w:pPr>
      <w:rPr>
        <w:spacing w:val="0"/>
      </w:rPr>
    </w:lvl>
  </w:abstractNum>
  <w:abstractNum w:abstractNumId="6">
    <w:lvl w:ilvl="0">
      <w:start w:val="1"/>
      <w:numFmt w:val="upperLetter"/>
      <w:lvlText w:val="(%1)"/>
      <w:lvlJc w:val="start"/>
      <w:pPr>
        <w:tabs>
          <w:tab w:val="num" w:pos="2520"/>
        </w:tabs>
        <w:ind w:start="2520" w:hanging="360"/>
      </w:pPr>
      <w:rPr>
        <w:spacing w:val="0"/>
      </w:rPr>
    </w:lvl>
  </w:abstractNum>
  <w:abstractNum w:abstractNumId="7">
    <w:lvl w:ilvl="0">
      <w:start w:val="1"/>
      <w:numFmt w:val="none"/>
      <w:suff w:val="nothing"/>
      <w:lvlText w:val=""/>
      <w:lvlJc w:val="start"/>
      <w:pPr>
        <w:tabs>
          <w:tab w:val="num" w:pos="0"/>
        </w:tabs>
        <w:ind w:start="0" w:hanging="0"/>
      </w:pPr>
      <w:rPr>
        <w:spacing w:val="0"/>
      </w:rPr>
    </w:lvl>
  </w:abstractNum>
  <w:abstractNum w:abstractNumId="8">
    <w:lvl w:ilvl="0">
      <w:start w:val="1"/>
      <w:numFmt w:val="none"/>
      <w:suff w:val="nothing"/>
      <w:lvlText w:val=""/>
      <w:lvlJc w:val="start"/>
      <w:pPr>
        <w:tabs>
          <w:tab w:val="num" w:pos="0"/>
        </w:tabs>
        <w:ind w:start="0" w:hanging="0"/>
      </w:pPr>
      <w:rPr>
        <w:spacing w:val="0"/>
      </w:rPr>
    </w:lvl>
  </w:abstractNum>
  <w:abstractNum w:abstractNumId="9">
    <w:lvl w:ilvl="0">
      <w:start w:val="1"/>
      <w:numFmt w:val="upperLetter"/>
      <w:lvlText w:val="(%1)"/>
      <w:lvlJc w:val="start"/>
      <w:pPr>
        <w:tabs>
          <w:tab w:val="num" w:pos="2520"/>
        </w:tabs>
        <w:ind w:start="2520" w:hanging="360"/>
      </w:pPr>
      <w:rPr>
        <w:spacing w:val="0"/>
      </w:rPr>
    </w:lvl>
  </w:abstractNum>
  <w:abstractNum w:abstractNumId="10">
    <w:lvl w:ilvl="0">
      <w:start w:val="1"/>
      <w:numFmt w:val="upperRoman"/>
      <w:lvlText w:val="(%1)"/>
      <w:lvlJc w:val="start"/>
      <w:pPr>
        <w:tabs>
          <w:tab w:val="num" w:pos="1560"/>
        </w:tabs>
        <w:ind w:start="1560" w:hanging="720"/>
      </w:pPr>
      <w:rPr>
        <w:spacing w:val="0"/>
      </w:rPr>
    </w:lvl>
    <w:lvl w:ilvl="1">
      <w:start w:val="1"/>
      <w:numFmt w:val="upperLetter"/>
      <w:lvlText w:val="(%2)"/>
      <w:lvlJc w:val="start"/>
      <w:pPr>
        <w:tabs>
          <w:tab w:val="num" w:pos="1920"/>
        </w:tabs>
        <w:ind w:start="1920" w:hanging="360"/>
      </w:pPr>
      <w:rPr>
        <w:spacing w:val="0"/>
      </w:rPr>
    </w:lvl>
    <w:lvl w:ilvl="2">
      <w:start w:val="1"/>
      <w:numFmt w:val="lowerRoman"/>
      <w:lvlText w:val="%3."/>
      <w:lvlJc w:val="end"/>
      <w:pPr>
        <w:tabs>
          <w:tab w:val="num" w:pos="2640"/>
        </w:tabs>
        <w:ind w:start="2640" w:hanging="180"/>
      </w:pPr>
      <w:rPr>
        <w:spacing w:val="0"/>
      </w:rPr>
    </w:lvl>
    <w:lvl w:ilvl="3">
      <w:start w:val="1"/>
      <w:numFmt w:val="decimal"/>
      <w:lvlText w:val="%4."/>
      <w:lvlJc w:val="start"/>
      <w:pPr>
        <w:tabs>
          <w:tab w:val="num" w:pos="3360"/>
        </w:tabs>
        <w:ind w:start="3360" w:hanging="360"/>
      </w:pPr>
      <w:rPr>
        <w:spacing w:val="0"/>
      </w:rPr>
    </w:lvl>
    <w:lvl w:ilvl="4">
      <w:start w:val="1"/>
      <w:numFmt w:val="lowerLetter"/>
      <w:lvlText w:val="%5."/>
      <w:lvlJc w:val="start"/>
      <w:pPr>
        <w:tabs>
          <w:tab w:val="num" w:pos="4080"/>
        </w:tabs>
        <w:ind w:start="4080" w:hanging="360"/>
      </w:pPr>
      <w:rPr>
        <w:spacing w:val="0"/>
      </w:rPr>
    </w:lvl>
    <w:lvl w:ilvl="5">
      <w:start w:val="1"/>
      <w:numFmt w:val="lowerRoman"/>
      <w:lvlText w:val="%6."/>
      <w:lvlJc w:val="end"/>
      <w:pPr>
        <w:tabs>
          <w:tab w:val="num" w:pos="4800"/>
        </w:tabs>
        <w:ind w:start="4800" w:hanging="180"/>
      </w:pPr>
      <w:rPr>
        <w:spacing w:val="0"/>
      </w:rPr>
    </w:lvl>
    <w:lvl w:ilvl="6">
      <w:start w:val="1"/>
      <w:numFmt w:val="decimal"/>
      <w:lvlText w:val="%7."/>
      <w:lvlJc w:val="start"/>
      <w:pPr>
        <w:tabs>
          <w:tab w:val="num" w:pos="5520"/>
        </w:tabs>
        <w:ind w:start="5520" w:hanging="360"/>
      </w:pPr>
      <w:rPr>
        <w:spacing w:val="0"/>
      </w:rPr>
    </w:lvl>
    <w:lvl w:ilvl="7">
      <w:start w:val="1"/>
      <w:numFmt w:val="lowerLetter"/>
      <w:lvlText w:val="%8."/>
      <w:lvlJc w:val="start"/>
      <w:pPr>
        <w:tabs>
          <w:tab w:val="num" w:pos="6240"/>
        </w:tabs>
        <w:ind w:start="6240" w:hanging="360"/>
      </w:pPr>
      <w:rPr>
        <w:spacing w:val="0"/>
      </w:rPr>
    </w:lvl>
    <w:lvl w:ilvl="8">
      <w:start w:val="1"/>
      <w:numFmt w:val="lowerRoman"/>
      <w:lvlText w:val="%9."/>
      <w:lvlJc w:val="end"/>
      <w:pPr>
        <w:tabs>
          <w:tab w:val="num" w:pos="6960"/>
        </w:tabs>
        <w:ind w:start="6960" w:hanging="180"/>
      </w:pPr>
      <w:rPr>
        <w:spacing w:val="0"/>
      </w:rPr>
    </w:lvl>
  </w:abstractNum>
  <w:abstractNum w:abstractNumId="11">
    <w:lvl w:ilvl="0">
      <w:start w:val="6"/>
      <w:numFmt w:val="decimal"/>
      <w:lvlText w:val="%1"/>
      <w:lvlJc w:val="start"/>
      <w:pPr>
        <w:tabs>
          <w:tab w:val="num" w:pos="360"/>
        </w:tabs>
        <w:ind w:start="360" w:hanging="360"/>
      </w:pPr>
      <w:rPr>
        <w:spacing w:val="0"/>
      </w:rPr>
    </w:lvl>
    <w:lvl w:ilvl="1">
      <w:start w:val="1"/>
      <w:numFmt w:val="decimal"/>
      <w:lvlText w:val="%1.%2"/>
      <w:lvlJc w:val="start"/>
      <w:pPr>
        <w:tabs>
          <w:tab w:val="num" w:pos="720"/>
        </w:tabs>
        <w:ind w:start="720" w:hanging="720"/>
      </w:pPr>
      <w:rPr>
        <w:spacing w:val="0"/>
      </w:rPr>
    </w:lvl>
    <w:lvl w:ilvl="2">
      <w:start w:val="1"/>
      <w:numFmt w:val="decimal"/>
      <w:lvlText w:val="%1.%2.%3"/>
      <w:lvlJc w:val="start"/>
      <w:pPr>
        <w:tabs>
          <w:tab w:val="num" w:pos="720"/>
        </w:tabs>
        <w:ind w:start="720" w:hanging="720"/>
      </w:pPr>
      <w:rPr>
        <w:spacing w:val="0"/>
      </w:rPr>
    </w:lvl>
    <w:lvl w:ilvl="3">
      <w:start w:val="1"/>
      <w:numFmt w:val="decimal"/>
      <w:lvlText w:val="%1.%2.%3.%4"/>
      <w:lvlJc w:val="start"/>
      <w:pPr>
        <w:tabs>
          <w:tab w:val="num" w:pos="1080"/>
        </w:tabs>
        <w:ind w:start="1080" w:hanging="1080"/>
      </w:pPr>
      <w:rPr>
        <w:spacing w:val="0"/>
      </w:rPr>
    </w:lvl>
    <w:lvl w:ilvl="4">
      <w:start w:val="1"/>
      <w:numFmt w:val="decimal"/>
      <w:lvlText w:val="%1.%2.%3.%4.%5"/>
      <w:lvlJc w:val="start"/>
      <w:pPr>
        <w:tabs>
          <w:tab w:val="num" w:pos="1440"/>
        </w:tabs>
        <w:ind w:start="1440" w:hanging="1440"/>
      </w:pPr>
      <w:rPr>
        <w:spacing w:val="0"/>
      </w:rPr>
    </w:lvl>
    <w:lvl w:ilvl="5">
      <w:start w:val="1"/>
      <w:numFmt w:val="decimal"/>
      <w:lvlText w:val="%1.%2.%3.%4.%5.%6"/>
      <w:lvlJc w:val="start"/>
      <w:pPr>
        <w:tabs>
          <w:tab w:val="num" w:pos="1440"/>
        </w:tabs>
        <w:ind w:start="1440" w:hanging="1440"/>
      </w:pPr>
      <w:rPr>
        <w:spacing w:val="0"/>
      </w:rPr>
    </w:lvl>
    <w:lvl w:ilvl="6">
      <w:start w:val="1"/>
      <w:numFmt w:val="decimal"/>
      <w:lvlText w:val="%1.%2.%3.%4.%5.%6.%7"/>
      <w:lvlJc w:val="start"/>
      <w:pPr>
        <w:tabs>
          <w:tab w:val="num" w:pos="1800"/>
        </w:tabs>
        <w:ind w:start="1800" w:hanging="1800"/>
      </w:pPr>
      <w:rPr>
        <w:spacing w:val="0"/>
      </w:rPr>
    </w:lvl>
    <w:lvl w:ilvl="7">
      <w:start w:val="1"/>
      <w:numFmt w:val="decimal"/>
      <w:lvlText w:val="%1.%2.%3.%4.%5.%6.%7.%38%8"/>
      <w:lvlJc w:val="start"/>
      <w:pPr>
        <w:tabs>
          <w:tab w:val="num" w:pos="2160"/>
        </w:tabs>
        <w:ind w:start="2160" w:hanging="2160"/>
      </w:pPr>
      <w:rPr>
        <w:spacing w:val="0"/>
      </w:rPr>
    </w:lvl>
    <w:lvl w:ilvl="8">
      <w:start w:val="1"/>
      <w:numFmt w:val="decimal"/>
      <w:lvlText w:val="%1.%2.%3.%4.%5.%6.%738%38%.%8.%9"/>
      <w:lvlJc w:val="start"/>
      <w:pPr>
        <w:tabs>
          <w:tab w:val="num" w:pos="2160"/>
        </w:tabs>
        <w:ind w:start="2160" w:hanging="2160"/>
      </w:pPr>
      <w:rPr>
        <w:spacing w:val="0"/>
      </w:rPr>
    </w:lvl>
  </w:abstractNum>
  <w:abstractNum w:abstractNumId="12">
    <w:lvl w:ilvl="0">
      <w:start w:val="1"/>
      <w:numFmt w:val="upperLetter"/>
      <w:lvlText w:val="(%1)"/>
      <w:lvlJc w:val="start"/>
      <w:pPr>
        <w:tabs>
          <w:tab w:val="num" w:pos="2520"/>
        </w:tabs>
        <w:ind w:start="2520" w:hanging="360"/>
      </w:pPr>
      <w:rPr>
        <w:spacing w:val="0"/>
      </w:rPr>
    </w:lvl>
  </w:abstractNum>
  <w:abstractNum w:abstractNumId="13">
    <w:lvl w:ilvl="0">
      <w:start w:val="1"/>
      <w:numFmt w:val="lowerLetter"/>
      <w:lvlText w:val="(%1)"/>
      <w:lvlJc w:val="start"/>
      <w:pPr>
        <w:tabs>
          <w:tab w:val="num" w:pos="360"/>
        </w:tabs>
        <w:ind w:start="360" w:hanging="360"/>
      </w:pPr>
      <w:rPr>
        <w:spacing w:val="0"/>
      </w:rPr>
    </w:lvl>
    <w:lvl w:ilvl="1">
      <w:start w:val="1"/>
      <w:numFmt w:val="lowerRoman"/>
      <w:lvlText w:val="(%2)"/>
      <w:lvlJc w:val="start"/>
      <w:pPr>
        <w:tabs>
          <w:tab w:val="num" w:pos="720"/>
        </w:tabs>
        <w:ind w:start="1080" w:hanging="720"/>
      </w:pPr>
      <w:rPr>
        <w:spacing w:val="0"/>
      </w:rPr>
    </w:lvl>
    <w:lvl w:ilvl="2">
      <w:start w:val="1"/>
      <w:numFmt w:val="lowerRoman"/>
      <w:lvlText w:val="%3."/>
      <w:lvlJc w:val="start"/>
      <w:pPr>
        <w:tabs>
          <w:tab w:val="num" w:pos="180"/>
        </w:tabs>
        <w:ind w:start="1260" w:hanging="180"/>
      </w:pPr>
      <w:rPr>
        <w:spacing w:val="0"/>
      </w:rPr>
    </w:lvl>
    <w:lvl w:ilvl="3">
      <w:start w:val="1"/>
      <w:numFmt w:val="decimal"/>
      <w:lvlText w:val="%4."/>
      <w:lvlJc w:val="start"/>
      <w:pPr>
        <w:tabs>
          <w:tab w:val="num" w:pos="360"/>
        </w:tabs>
        <w:ind w:start="1620" w:hanging="360"/>
      </w:pPr>
      <w:rPr>
        <w:spacing w:val="0"/>
      </w:rPr>
    </w:lvl>
    <w:lvl w:ilvl="4">
      <w:start w:val="1"/>
      <w:numFmt w:val="lowerLetter"/>
      <w:lvlText w:val="%5."/>
      <w:lvlJc w:val="start"/>
      <w:pPr>
        <w:tabs>
          <w:tab w:val="num" w:pos="360"/>
        </w:tabs>
        <w:ind w:start="1980" w:hanging="360"/>
      </w:pPr>
      <w:rPr>
        <w:spacing w:val="0"/>
      </w:rPr>
    </w:lvl>
    <w:lvl w:ilvl="5">
      <w:start w:val="1"/>
      <w:numFmt w:val="lowerRoman"/>
      <w:lvlText w:val="%6."/>
      <w:lvlJc w:val="start"/>
      <w:pPr>
        <w:tabs>
          <w:tab w:val="num" w:pos="180"/>
        </w:tabs>
        <w:ind w:start="2160" w:hanging="180"/>
      </w:pPr>
      <w:rPr>
        <w:spacing w:val="0"/>
      </w:rPr>
    </w:lvl>
    <w:lvl w:ilvl="6">
      <w:start w:val="1"/>
      <w:numFmt w:val="decimal"/>
      <w:lvlText w:val="%7."/>
      <w:lvlJc w:val="start"/>
      <w:pPr>
        <w:tabs>
          <w:tab w:val="num" w:pos="360"/>
        </w:tabs>
        <w:ind w:start="2520" w:hanging="360"/>
      </w:pPr>
      <w:rPr>
        <w:spacing w:val="0"/>
      </w:rPr>
    </w:lvl>
    <w:lvl w:ilvl="7">
      <w:start w:val="1"/>
      <w:numFmt w:val="lowerLetter"/>
      <w:lvlText w:val="%8."/>
      <w:lvlJc w:val="start"/>
      <w:pPr>
        <w:tabs>
          <w:tab w:val="num" w:pos="360"/>
        </w:tabs>
        <w:ind w:start="2880" w:hanging="360"/>
      </w:pPr>
      <w:rPr>
        <w:spacing w:val="0"/>
      </w:rPr>
    </w:lvl>
    <w:lvl w:ilvl="8">
      <w:start w:val="1"/>
      <w:numFmt w:val="lowerRoman"/>
      <w:lvlText w:val="%9."/>
      <w:lvlJc w:val="start"/>
      <w:pPr>
        <w:tabs>
          <w:tab w:val="num" w:pos="180"/>
        </w:tabs>
        <w:ind w:start="3060" w:hanging="180"/>
      </w:pPr>
      <w:rPr>
        <w:spacing w:val="0"/>
      </w:rPr>
    </w:lvl>
  </w:abstractNum>
  <w:abstractNum w:abstractNumId="14">
    <w:lvl w:ilvl="0">
      <w:start w:val="1"/>
      <w:numFmt w:val="none"/>
      <w:suff w:val="nothing"/>
      <w:lvlText w:val=""/>
      <w:lvlJc w:val="start"/>
      <w:pPr>
        <w:tabs>
          <w:tab w:val="num" w:pos="0"/>
        </w:tabs>
        <w:ind w:start="0" w:hanging="0"/>
      </w:pPr>
      <w:rPr>
        <w:spacing w:val="0"/>
      </w:rPr>
    </w:lvl>
  </w:abstractNum>
  <w:abstractNum w:abstractNumId="15">
    <w:lvl w:ilvl="0">
      <w:start w:val="1"/>
      <w:numFmt w:val="decimal"/>
      <w:lvlText w:val="Section %1."/>
      <w:lvlJc w:val="start"/>
      <w:pPr>
        <w:tabs>
          <w:tab w:val="num" w:pos="2880"/>
        </w:tabs>
        <w:ind w:start="0" w:firstLine="1440"/>
      </w:pPr>
      <w:rPr>
        <w:smallCaps w:val="false"/>
        <w:caps w:val="false"/>
        <w:outline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1">
      <w:start w:val="1"/>
      <w:numFmt w:val="decimalZero"/>
      <w:lvlText w:val="%1.%2"/>
      <w:lvlJc w:val="start"/>
      <w:pPr>
        <w:tabs>
          <w:tab w:val="num" w:pos="2160"/>
        </w:tabs>
        <w:ind w:start="0" w:firstLine="1440"/>
      </w:pPr>
      <w:rPr>
        <w:smallCaps w:val="false"/>
        <w:caps w:val="false"/>
        <w:outline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2">
      <w:start w:val="1"/>
      <w:numFmt w:val="lowerLetter"/>
      <w:lvlText w:val="(%3)"/>
      <w:lvlJc w:val="start"/>
      <w:pPr>
        <w:tabs>
          <w:tab w:val="num" w:pos="1800"/>
        </w:tabs>
        <w:ind w:start="720" w:firstLine="720"/>
      </w:pPr>
      <w:rPr>
        <w:smallCaps w:val="false"/>
        <w:caps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3">
      <w:start w:val="1"/>
      <w:numFmt w:val="decimal"/>
      <w:lvlText w:val="(%4)"/>
      <w:lvlJc w:val="start"/>
      <w:pPr>
        <w:tabs>
          <w:tab w:val="num" w:pos="1800"/>
        </w:tabs>
        <w:ind w:start="720" w:firstLine="720"/>
      </w:pPr>
      <w:rPr>
        <w:smallCaps w:val="false"/>
        <w:caps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4">
      <w:start w:val="1"/>
      <w:numFmt w:val="upperLetter"/>
      <w:lvlText w:val="(%5)"/>
      <w:lvlJc w:val="start"/>
      <w:pPr>
        <w:tabs>
          <w:tab w:val="num" w:pos="4320"/>
        </w:tabs>
        <w:ind w:start="2880" w:firstLine="720"/>
      </w:pPr>
      <w:rPr>
        <w:smallCaps w:val="false"/>
        <w:caps w:val="false"/>
        <w:outline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5">
      <w:start w:val="1"/>
      <w:numFmt w:val="none"/>
      <w:suff w:val="nothing"/>
      <w:lvlText w:val=""/>
      <w:lvlJc w:val="start"/>
      <w:pPr>
        <w:tabs>
          <w:tab w:val="num" w:pos="2736"/>
        </w:tabs>
        <w:ind w:start="2736" w:hanging="936"/>
      </w:pPr>
      <w:rPr>
        <w:spacing w:val="0"/>
      </w:rPr>
    </w:lvl>
    <w:lvl w:ilvl="6">
      <w:start w:val="1"/>
      <w:numFmt w:val="none"/>
      <w:suff w:val="nothing"/>
      <w:lvlText w:val=""/>
      <w:lvlJc w:val="start"/>
      <w:pPr>
        <w:tabs>
          <w:tab w:val="num" w:pos="3240"/>
        </w:tabs>
        <w:ind w:start="3240" w:hanging="1080"/>
      </w:pPr>
      <w:rPr>
        <w:spacing w:val="0"/>
      </w:rPr>
    </w:lvl>
    <w:lvl w:ilvl="7">
      <w:start w:val="1"/>
      <w:numFmt w:val="none"/>
      <w:suff w:val="nothing"/>
      <w:lvlText w:val=""/>
      <w:lvlJc w:val="start"/>
      <w:pPr>
        <w:tabs>
          <w:tab w:val="num" w:pos="3744"/>
        </w:tabs>
        <w:ind w:start="3744" w:hanging="1224"/>
      </w:pPr>
      <w:rPr>
        <w:spacing w:val="0"/>
      </w:rPr>
    </w:lvl>
    <w:lvl w:ilvl="8">
      <w:start w:val="1"/>
      <w:numFmt w:val="none"/>
      <w:suff w:val="nothing"/>
      <w:lvlText w:val=""/>
      <w:lvlJc w:val="start"/>
      <w:pPr>
        <w:tabs>
          <w:tab w:val="num" w:pos="4320"/>
        </w:tabs>
        <w:ind w:start="4320" w:hanging="1440"/>
      </w:pPr>
      <w:rPr>
        <w:spacing w:val="0"/>
      </w:rPr>
    </w:lvl>
  </w:abstractNum>
  <w:abstractNum w:abstractNumId="16">
    <w:lvl w:ilvl="0">
      <w:start w:val="2"/>
      <w:numFmt w:val="lowerRoman"/>
      <w:lvlText w:val="(%1)"/>
      <w:lvlJc w:val="start"/>
      <w:pPr>
        <w:tabs>
          <w:tab w:val="num" w:pos="3600"/>
        </w:tabs>
        <w:ind w:start="3600" w:hanging="720"/>
      </w:pPr>
      <w:rPr>
        <w:spacing w:val="0"/>
      </w:r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upperLetter"/>
      <w:lvlText w:val="%1."/>
      <w:lvlJc w:val="start"/>
      <w:pPr>
        <w:tabs>
          <w:tab w:val="num" w:pos="1710"/>
        </w:tabs>
        <w:ind w:start="1710" w:hanging="360"/>
      </w:pPr>
    </w:lvl>
  </w:abstractNum>
  <w:abstractNum w:abstractNumId="19">
    <w:lvl w:ilvl="0">
      <w:start w:val="1"/>
      <w:numFmt w:val="lowerLetter"/>
      <w:lvlText w:val="%1)"/>
      <w:lvlJc w:val="start"/>
      <w:pPr>
        <w:tabs>
          <w:tab w:val="num" w:pos="360"/>
        </w:tabs>
        <w:ind w:start="360" w:hanging="360"/>
      </w:pPr>
    </w:lvl>
  </w:abstractNum>
  <w:abstractNum w:abstractNumId="20">
    <w:lvl w:ilvl="0">
      <w:start w:val="1"/>
      <w:numFmt w:val="upperRoman"/>
      <w:lvlText w:val="%1."/>
      <w:lvlJc w:val="end"/>
      <w:pPr>
        <w:tabs>
          <w:tab w:val="num" w:pos="1620"/>
        </w:tabs>
        <w:ind w:start="1620" w:hanging="180"/>
      </w:pPr>
    </w:lvl>
  </w:abstractNum>
  <w:abstractNum w:abstractNumId="21">
    <w:lvl w:ilvl="0">
      <w:start w:val="1"/>
      <w:numFmt w:val="decimal"/>
      <w:lvlText w:val="%1."/>
      <w:lvlJc w:val="start"/>
      <w:pPr>
        <w:tabs>
          <w:tab w:val="num" w:pos="720"/>
        </w:tabs>
        <w:ind w:start="720" w:hanging="720"/>
      </w:pPr>
      <w:r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2016_4"/>
    <w:docVar w:name="DOCX97_10" w:val="2/17/98 2:38:30 AM"/>
    <w:docVar w:name="DOCX97_11" w:val="24951"/>
    <w:docVar w:name="DOCX97_2" w:val="s:\mtsource\mt030698\bii\mroyko\agrmnt\2016_4"/>
    <w:docVar w:name="DOCX97_20" w:val="DocX97Begin"/>
    <w:docVar w:name="DOCX97_23" w:val="NoTabCodes"/>
    <w:docVar w:name="DOCX97_25" w:val="GoodStyleRemove"/>
    <w:docVar w:name="DOCX97_26" w:val="NoReferences"/>
    <w:docVar w:name="DOCX97_27" w:val="NoTarget"/>
    <w:docVar w:name="DOCX97_28" w:val="GoodOutline"/>
    <w:docVar w:name="DOCX97_3" w:val="SI.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030698\bii\mroyko\agrmnt\2016_4"/>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111657"/>
    <w:docVar w:name="DOCX97_50" w:val="CG Times"/>
    <w:docVar w:name="DOCX97_51" w:val="NoDocType"/>
    <w:docVar w:name="DOCX97_52" w:val="Document"/>
    <w:docVar w:name="DOCX97_53" w:val="NoPageBorder"/>
    <w:docVar w:name="DOCX97_54" w:val="YesLeading"/>
    <w:docVar w:name="DOCX97_55" w:val="12"/>
    <w:docVar w:name="DOCX97_56" w:val="Times New Roman"/>
    <w:docVar w:name="DOCX97_57" w:val="12p"/>
    <w:docVar w:name="DOCX97_59" w:val="8.5"/>
    <w:docVar w:name="DOCX97_6" w:val="89,600"/>
    <w:docVar w:name="DOCX97_60" w:val="YesAdvance"/>
    <w:docVar w:name="DOCX97_61" w:val="NoSpacers"/>
    <w:docVar w:name="DOCX97_62" w:val="YesPrivate"/>
    <w:docVar w:name="DOCX97_65" w:val="GoodChars"/>
    <w:docVar w:name="DOCX97_66" w:val="GoodQuotes"/>
    <w:docVar w:name="DOCX97_69" w:val="NoInternational"/>
    <w:docVar w:name="DOCX97_7" w:val="3/6/98 10:23:23 PM"/>
    <w:docVar w:name="DOCX97_8" w:val="3/6/98 10:23:51 PM"/>
    <w:docVar w:name="DOCX97_89" w:val="WordMacrosDone"/>
    <w:docVar w:name="DOCX97_90" w:val="DocX97WPDone"/>
    <w:docVar w:name="DOCX97_91" w:val="Milbank"/>
    <w:docVar w:name="DOCX97_92" w:val="3/6/98"/>
    <w:docVar w:name="DOCX97_93" w:val="10:24:18 PM"/>
    <w:docVar w:name="FF_Blackline" w:val="YES"/>
    <w:docVar w:name="FFCompareDoc1" w:val="NY003678709/24+"/>
    <w:docVar w:name="FFCompareDoc2" w:val="NY003678709/ 23"/>
    <w:docVar w:name="zzmpFixedDOC_ID" w:val="NY3:#7166576v1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Symbol" w:hAnsi="Symbol" w:cs="Times New Roman"/>
      <w:spacing w:val="0"/>
    </w:rPr>
  </w:style>
  <w:style w:type="character" w:styleId="WW8Num17z0">
    <w:name w:val="WW8Num17z0"/>
    <w:qFormat/>
    <w:rPr>
      <w:rFonts w:ascii="Symbol" w:hAnsi="Symbol" w:cs="Times New Roman"/>
      <w:spacing w:val="0"/>
    </w:rPr>
  </w:style>
  <w:style w:type="character" w:styleId="WW8Num18z0">
    <w:name w:val="WW8Num18z0"/>
    <w:qFormat/>
    <w:rPr>
      <w:rFonts w:ascii="Symbol" w:hAnsi="Symbol" w:cs="Times New Roman"/>
      <w:spacing w:val="0"/>
    </w:rPr>
  </w:style>
  <w:style w:type="character" w:styleId="WW8Num19z0">
    <w:name w:val="WW8Num19z0"/>
    <w:qFormat/>
    <w:rPr>
      <w:spacing w:val="0"/>
    </w:rPr>
  </w:style>
  <w:style w:type="character" w:styleId="WW8Num20z0">
    <w:name w:val="WW8Num20z0"/>
    <w:qFormat/>
    <w:rPr>
      <w:rFonts w:ascii="Symbol" w:hAnsi="Symbol" w:cs="Times New Roman"/>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Times New Roman" w:hAnsi="Times New Roman" w:cs="Times New Roman"/>
      <w:b w:val="false"/>
      <w:i w:val="false"/>
      <w:caps w:val="false"/>
      <w:smallCaps w:val="false"/>
      <w:color w:val="000000"/>
      <w:spacing w:val="0"/>
      <w:u w:val="none"/>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Times New Roman" w:hAnsi="Times New Roman" w:cs="Times New Roman"/>
      <w:b w:val="false"/>
      <w:i w:val="false"/>
      <w:caps w:val="false"/>
      <w:smallCaps w:val="false"/>
      <w:color w:val="000000"/>
      <w:spacing w:val="0"/>
      <w:u w:val="none"/>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rFonts w:ascii="Bembo" w:hAnsi="Bembo" w:cs="Times New Roman"/>
      <w:spacing w:val="0"/>
      <w:sz w:val="26"/>
      <w:szCs w:val="26"/>
    </w:rPr>
  </w:style>
  <w:style w:type="character" w:styleId="WW8Num29z1">
    <w:name w:val="WW8Num29z1"/>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 w:hAnsi="Bembo" w:cs="Times New Roman"/>
      <w:b w:val="false"/>
      <w:i w:val="false"/>
      <w:spacing w:val="0"/>
      <w:sz w:val="26"/>
      <w:szCs w:val="26"/>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Bembo" w:hAnsi="Bembo" w:cs="Times New Roman"/>
      <w:spacing w:val="0"/>
      <w:sz w:val="26"/>
      <w:szCs w:val="26"/>
    </w:rPr>
  </w:style>
  <w:style w:type="character" w:styleId="WW8Num51z1">
    <w:name w:val="WW8Num51z1"/>
    <w:qFormat/>
    <w:rPr>
      <w:spacing w:val="0"/>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rFonts w:ascii="Symbol" w:hAnsi="Symbol" w:cs="Times New Roman"/>
      <w:b w:val="false"/>
      <w:i w:val="false"/>
      <w:caps w:val="false"/>
      <w:smallCaps w:val="false"/>
      <w:color w:val="000000"/>
      <w:spacing w:val="0"/>
      <w:sz w:val="28"/>
      <w:szCs w:val="28"/>
      <w:u w:val="none"/>
    </w:rPr>
  </w:style>
  <w:style w:type="character" w:styleId="WW8Num56z1">
    <w:name w:val="WW8Num56z1"/>
    <w:qFormat/>
    <w:rPr>
      <w:rFonts w:ascii="Marlett" w:hAnsi="Marlett" w:cs="Times New Roman"/>
      <w:b w:val="false"/>
      <w:i w:val="false"/>
      <w:caps w:val="false"/>
      <w:smallCaps w:val="false"/>
      <w:color w:val="000000"/>
      <w:spacing w:val="0"/>
      <w:sz w:val="20"/>
      <w:szCs w:val="20"/>
      <w:u w:val="none"/>
    </w:rPr>
  </w:style>
  <w:style w:type="character" w:styleId="WW8Num56z2">
    <w:name w:val="WW8Num56z2"/>
    <w:qFormat/>
    <w:rPr>
      <w:rFonts w:ascii="Wingdings" w:hAnsi="Wingdings" w:cs="Times New Roman"/>
      <w:b w:val="false"/>
      <w:i w:val="false"/>
      <w:caps w:val="false"/>
      <w:smallCaps w:val="false"/>
      <w:color w:val="000000"/>
      <w:spacing w:val="0"/>
      <w:sz w:val="20"/>
      <w:szCs w:val="20"/>
      <w:u w:val="none"/>
    </w:rPr>
  </w:style>
  <w:style w:type="character" w:styleId="WW8Num56z3">
    <w:name w:val="WW8Num56z3"/>
    <w:qFormat/>
    <w:rPr>
      <w:b w:val="false"/>
      <w:i w:val="false"/>
      <w:caps w:val="false"/>
      <w:smallCaps w:val="false"/>
      <w:color w:val="000000"/>
      <w:spacing w:val="0"/>
      <w:sz w:val="20"/>
      <w:szCs w:val="20"/>
      <w:u w:val="none"/>
    </w:rPr>
  </w:style>
  <w:style w:type="character" w:styleId="WW8Num56z4">
    <w:name w:val="WW8Num56z4"/>
    <w:qFormat/>
    <w:rPr>
      <w:b w:val="false"/>
      <w:i w:val="false"/>
      <w:caps w:val="false"/>
      <w:smallCaps w:val="false"/>
      <w:color w:val="000000"/>
      <w:spacing w:val="0"/>
      <w:sz w:val="24"/>
      <w:szCs w:val="24"/>
      <w:u w:val="none"/>
    </w:rPr>
  </w:style>
  <w:style w:type="character" w:styleId="WW8Num56z5">
    <w:name w:val="WW8Num56z5"/>
    <w:qFormat/>
    <w:rPr>
      <w:rFonts w:ascii="Times New Roman" w:hAnsi="Times New Roman" w:cs="Times New Roman"/>
      <w:b w:val="false"/>
      <w:i w:val="false"/>
      <w:caps w:val="false"/>
      <w:smallCaps w:val="false"/>
      <w:color w:val="000000"/>
      <w:spacing w:val="0"/>
      <w:u w:val="none"/>
    </w:rPr>
  </w:style>
  <w:style w:type="character" w:styleId="WW8Num57z0">
    <w:name w:val="WW8Num57z0"/>
    <w:qFormat/>
    <w:rPr>
      <w:rFonts w:ascii="Times New Roman" w:hAnsi="Times New Roman" w:cs="Times New Roman"/>
      <w:b w:val="false"/>
      <w:i w:val="false"/>
      <w:caps w:val="false"/>
      <w:smallCaps w:val="false"/>
      <w:strike w:val="false"/>
      <w:dstrike w:val="false"/>
      <w:outline w:val="false"/>
      <w:shadow w:val="false"/>
      <w:vanish w:val="false"/>
      <w:color w:val="000000"/>
      <w:spacing w:val="0"/>
      <w:position w:val="0"/>
      <w:sz w:val="24"/>
      <w:sz w:val="24"/>
      <w:szCs w:val="24"/>
      <w:u w:val="none"/>
      <w:vertAlign w:val="baseline"/>
    </w:rPr>
  </w:style>
  <w:style w:type="character" w:styleId="WW8Num57z2">
    <w:name w:val="WW8Num57z2"/>
    <w:qFormat/>
    <w:rPr>
      <w:rFonts w:ascii="Times New Roman" w:hAnsi="Times New Roman" w:cs="Times New Roman"/>
      <w:b w:val="false"/>
      <w:i w:val="false"/>
      <w:caps w:val="false"/>
      <w:smallCaps w:val="false"/>
      <w:strike w:val="false"/>
      <w:dstrike w:val="false"/>
      <w:shadow w:val="false"/>
      <w:vanish w:val="false"/>
      <w:color w:val="000000"/>
      <w:spacing w:val="0"/>
      <w:position w:val="0"/>
      <w:sz w:val="24"/>
      <w:sz w:val="24"/>
      <w:szCs w:val="24"/>
      <w:u w:val="none"/>
      <w:vertAlign w:val="baseline"/>
    </w:rPr>
  </w:style>
  <w:style w:type="character" w:styleId="WW8Num57z5">
    <w:name w:val="WW8Num57z5"/>
    <w:qFormat/>
    <w:rPr>
      <w:spacing w:val="0"/>
    </w:rPr>
  </w:style>
  <w:style w:type="character" w:styleId="WW8Num58z0">
    <w:name w:val="WW8Num58z0"/>
    <w:qFormat/>
    <w:rPr>
      <w:spacing w:val="0"/>
      <w:u w:val="none"/>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WW8Num62z0">
    <w:name w:val="WW8Num62z0"/>
    <w:qFormat/>
    <w:rPr>
      <w:rFonts w:ascii="Symbol" w:hAnsi="Symbol" w:cs="Times New Roman"/>
      <w:spacing w:val="0"/>
    </w:rPr>
  </w:style>
  <w:style w:type="character" w:styleId="WW8Num62z1">
    <w:name w:val="WW8Num62z1"/>
    <w:qFormat/>
    <w:rPr>
      <w:rFonts w:ascii="Courier New" w:hAnsi="Courier New" w:cs="Courier New"/>
      <w:spacing w:val="0"/>
    </w:rPr>
  </w:style>
  <w:style w:type="character" w:styleId="WW8Num62z2">
    <w:name w:val="WW8Num62z2"/>
    <w:qFormat/>
    <w:rPr>
      <w:rFonts w:ascii="Wingdings" w:hAnsi="Wingdings" w:cs="Times New Roman"/>
      <w:spacing w:val="0"/>
    </w:rPr>
  </w:style>
  <w:style w:type="character" w:styleId="WW8Num63z0">
    <w:name w:val="WW8Num63z0"/>
    <w:qFormat/>
    <w:rPr>
      <w:spacing w:val="0"/>
    </w:rPr>
  </w:style>
  <w:style w:type="character" w:styleId="WW8Num64z0">
    <w:name w:val="WW8Num64z0"/>
    <w:qFormat/>
    <w:rPr>
      <w:rFonts w:ascii="Times New Roman" w:hAnsi="Times New Roman" w:cs="Times New Roman"/>
      <w:b/>
      <w:i w:val="false"/>
      <w:caps/>
      <w:color w:val="000000"/>
      <w:spacing w:val="0"/>
      <w:u w:val="none"/>
    </w:rPr>
  </w:style>
  <w:style w:type="character" w:styleId="WW8Num64z1">
    <w:name w:val="WW8Num64z1"/>
    <w:qFormat/>
    <w:rPr>
      <w:rFonts w:ascii="Times New Roman" w:hAnsi="Times New Roman" w:cs="Times New Roman"/>
      <w:b/>
      <w:i w:val="false"/>
      <w:caps w:val="false"/>
      <w:smallCaps w:val="false"/>
      <w:color w:val="000000"/>
      <w:spacing w:val="0"/>
      <w:u w:val="none"/>
    </w:rPr>
  </w:style>
  <w:style w:type="character" w:styleId="WW8Num64z2">
    <w:name w:val="WW8Num64z2"/>
    <w:qFormat/>
    <w:rPr>
      <w:rFonts w:ascii="Times New Roman" w:hAnsi="Times New Roman" w:cs="Times New Roman"/>
      <w:b w:val="false"/>
      <w:i w:val="false"/>
      <w:caps w:val="false"/>
      <w:smallCaps w:val="false"/>
      <w:color w:val="000000"/>
      <w:spacing w:val="0"/>
      <w:u w:val="none"/>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rFonts w:ascii="Bembo" w:hAnsi="Bembo" w:cs="Times New Roman"/>
      <w:spacing w:val="0"/>
      <w:sz w:val="26"/>
      <w:szCs w:val="26"/>
    </w:rPr>
  </w:style>
  <w:style w:type="character" w:styleId="WW8Num67z1">
    <w:name w:val="WW8Num67z1"/>
    <w:qFormat/>
    <w:rPr>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1z2">
    <w:name w:val="WW8Num71z2"/>
    <w:qFormat/>
    <w:rPr>
      <w:rFonts w:ascii="Bembo" w:hAnsi="Bembo" w:cs="Times New Roman"/>
      <w:spacing w:val="0"/>
    </w:rPr>
  </w:style>
  <w:style w:type="character" w:styleId="WW8Num72z0">
    <w:name w:val="WW8Num72z0"/>
    <w:qFormat/>
    <w:rPr>
      <w:spacing w:val="0"/>
    </w:rPr>
  </w:style>
  <w:style w:type="character" w:styleId="WW8Num73z0">
    <w:name w:val="WW8Num73z0"/>
    <w:qFormat/>
    <w:rPr>
      <w:spacing w:val="0"/>
    </w:rPr>
  </w:style>
  <w:style w:type="character" w:styleId="WW8Num74z0">
    <w:name w:val="WW8Num74z0"/>
    <w:qFormat/>
    <w:rPr>
      <w:rFonts w:ascii="Times New Roman" w:hAnsi="Times New Roman" w:cs="Times New Roman"/>
      <w:b w:val="false"/>
      <w:i w:val="false"/>
      <w:caps w:val="false"/>
      <w:smallCaps w:val="false"/>
      <w:color w:val="000000"/>
      <w:spacing w:val="0"/>
      <w:u w:val="none"/>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rFonts w:ascii="Symbol" w:hAnsi="Symbol" w:cs="Times New Roman"/>
      <w:spacing w:val="0"/>
    </w:rPr>
  </w:style>
  <w:style w:type="character" w:styleId="WW8Num77z1">
    <w:name w:val="WW8Num77z1"/>
    <w:qFormat/>
    <w:rPr>
      <w:rFonts w:ascii="Courier New" w:hAnsi="Courier New" w:cs="Courier New"/>
      <w:spacing w:val="0"/>
    </w:rPr>
  </w:style>
  <w:style w:type="character" w:styleId="WW8Num77z2">
    <w:name w:val="WW8Num77z2"/>
    <w:qFormat/>
    <w:rPr>
      <w:rFonts w:ascii="Wingdings" w:hAnsi="Wingdings" w:cs="Times New Roman"/>
      <w:spacing w:val="0"/>
    </w:rPr>
  </w:style>
  <w:style w:type="character" w:styleId="WW8Num78z0">
    <w:name w:val="WW8Num78z0"/>
    <w:qFormat/>
    <w:rPr>
      <w:rFonts w:ascii="Times New Roman" w:hAnsi="Times New Roman" w:cs="Times New Roman"/>
      <w:b/>
      <w:i w:val="false"/>
      <w:caps w:val="false"/>
      <w:smallCaps w:val="false"/>
      <w:color w:val="000000"/>
      <w:spacing w:val="0"/>
      <w:u w:val="none"/>
    </w:rPr>
  </w:style>
  <w:style w:type="character" w:styleId="WW8Num78z1">
    <w:name w:val="WW8Num78z1"/>
    <w:qFormat/>
    <w:rPr>
      <w:rFonts w:ascii="Times New Roman" w:hAnsi="Times New Roman" w:cs="Times New Roman"/>
      <w:b w:val="false"/>
      <w:i w:val="false"/>
      <w:caps w:val="false"/>
      <w:smallCaps w:val="false"/>
      <w:color w:val="000000"/>
      <w:spacing w:val="0"/>
      <w:u w:val="none"/>
    </w:rPr>
  </w:style>
  <w:style w:type="character" w:styleId="WW8Num79z0">
    <w:name w:val="WW8Num79z0"/>
    <w:qFormat/>
    <w:rPr>
      <w:spacing w:val="0"/>
    </w:rPr>
  </w:style>
  <w:style w:type="character" w:styleId="WW8Num80z0">
    <w:name w:val="WW8Num80z0"/>
    <w:qFormat/>
    <w:rPr>
      <w:rFonts w:ascii="Bembo" w:hAnsi="Bembo" w:cs="Times New Roman"/>
      <w:b w:val="false"/>
      <w:i w:val="false"/>
      <w:spacing w:val="0"/>
      <w:sz w:val="26"/>
      <w:szCs w:val="26"/>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84z0">
    <w:name w:val="WW8Num84z0"/>
    <w:qFormat/>
    <w:rPr>
      <w:spacing w:val="0"/>
    </w:rPr>
  </w:style>
  <w:style w:type="character" w:styleId="WW8Num85z0">
    <w:name w:val="WW8Num85z0"/>
    <w:qFormat/>
    <w:rPr>
      <w:spacing w:val="0"/>
    </w:rPr>
  </w:style>
  <w:style w:type="character" w:styleId="WW8Num86z0">
    <w:name w:val="WW8Num86z0"/>
    <w:qFormat/>
    <w:rPr>
      <w:spacing w:val="0"/>
    </w:rPr>
  </w:style>
  <w:style w:type="character" w:styleId="WW8Num87z0">
    <w:name w:val="WW8Num87z0"/>
    <w:qFormat/>
    <w:rPr>
      <w:rFonts w:ascii="Times New Roman" w:hAnsi="Times New Roman" w:cs="Times New Roman"/>
      <w:b w:val="false"/>
      <w:i w:val="false"/>
      <w:caps w:val="false"/>
      <w:smallCaps w:val="false"/>
      <w:color w:val="000000"/>
      <w:u w:val="none"/>
    </w:rPr>
  </w:style>
  <w:style w:type="character" w:styleId="WW8Num90z0">
    <w:name w:val="WW8Num90z0"/>
    <w:qFormat/>
    <w:rPr>
      <w:rFonts w:ascii="Times New Roman" w:hAnsi="Times New Roman" w:cs="Times New Roman"/>
      <w:b w:val="false"/>
      <w:i w:val="false"/>
      <w:caps w:val="false"/>
      <w:smallCaps w:val="false"/>
      <w:color w:val="000000"/>
      <w:u w:val="none"/>
    </w:rPr>
  </w:style>
  <w:style w:type="character" w:styleId="WW8Num93z0">
    <w:name w:val="WW8Num93z0"/>
    <w:qFormat/>
    <w:rPr>
      <w:rFonts w:ascii="Bembo" w:hAnsi="Bembo" w:cs="Bembo"/>
      <w:sz w:val="26"/>
    </w:rPr>
  </w:style>
  <w:style w:type="character" w:styleId="WW8Num95z0">
    <w:name w:val="WW8Num95z0"/>
    <w:qFormat/>
    <w:rPr/>
  </w:style>
  <w:style w:type="character" w:styleId="WW8Num97z0">
    <w:name w:val="WW8Num97z0"/>
    <w:qFormat/>
    <w:rPr>
      <w:rFonts w:ascii="Bembo" w:hAnsi="Bembo" w:cs="Bembo"/>
      <w:b w:val="false"/>
      <w:i w:val="false"/>
      <w:sz w:val="26"/>
    </w:rPr>
  </w:style>
  <w:style w:type="character" w:styleId="WW8Num103z0">
    <w:name w:val="WW8Num103z0"/>
    <w:qFormat/>
    <w:rPr/>
  </w:style>
  <w:style w:type="character" w:styleId="WW8Num106z0">
    <w:name w:val="WW8Num106z0"/>
    <w:qFormat/>
    <w:rPr>
      <w:rFonts w:ascii="Bembo" w:hAnsi="Bembo" w:cs="Bembo"/>
      <w:sz w:val="26"/>
    </w:rPr>
  </w:style>
  <w:style w:type="character" w:styleId="WW8Num107z0">
    <w:name w:val="WW8Num107z0"/>
    <w:qFormat/>
    <w:rPr>
      <w:rFonts w:ascii="Times New Roman" w:hAnsi="Times New Roman" w:cs="Times New Roman"/>
      <w:b w:val="false"/>
      <w:i w:val="false"/>
      <w:caps w:val="false"/>
      <w:smallCaps w:val="false"/>
      <w:color w:val="000000"/>
      <w:u w:val="none"/>
    </w:rPr>
  </w:style>
  <w:style w:type="character" w:styleId="WW8Num109z0">
    <w:name w:val="WW8Num109z0"/>
    <w:qFormat/>
    <w:rPr>
      <w:rFonts w:ascii="Symbol" w:hAnsi="Symbol" w:cs="Symbol"/>
      <w:b w:val="false"/>
      <w:i w:val="false"/>
      <w:caps w:val="false"/>
      <w:smallCaps w:val="false"/>
      <w:color w:val="000000"/>
      <w:sz w:val="28"/>
      <w:u w:val="none"/>
    </w:rPr>
  </w:style>
  <w:style w:type="character" w:styleId="WW8Num109z1">
    <w:name w:val="WW8Num109z1"/>
    <w:qFormat/>
    <w:rPr>
      <w:rFonts w:ascii="Marlett" w:hAnsi="Marlett" w:cs="Marlett"/>
      <w:b w:val="false"/>
      <w:i w:val="false"/>
      <w:caps w:val="false"/>
      <w:smallCaps w:val="false"/>
      <w:color w:val="000000"/>
      <w:sz w:val="20"/>
      <w:u w:val="none"/>
    </w:rPr>
  </w:style>
  <w:style w:type="character" w:styleId="WW8Num109z2">
    <w:name w:val="WW8Num109z2"/>
    <w:qFormat/>
    <w:rPr>
      <w:rFonts w:ascii="Wingdings" w:hAnsi="Wingdings" w:cs="Wingdings"/>
      <w:b w:val="false"/>
      <w:i w:val="false"/>
      <w:caps w:val="false"/>
      <w:smallCaps w:val="false"/>
      <w:color w:val="000000"/>
      <w:sz w:val="20"/>
      <w:u w:val="none"/>
    </w:rPr>
  </w:style>
  <w:style w:type="character" w:styleId="WW8Num109z3">
    <w:name w:val="WW8Num109z3"/>
    <w:qFormat/>
    <w:rPr>
      <w:b w:val="false"/>
      <w:i w:val="false"/>
      <w:caps w:val="false"/>
      <w:smallCaps w:val="false"/>
      <w:color w:val="000000"/>
      <w:sz w:val="20"/>
      <w:u w:val="none"/>
    </w:rPr>
  </w:style>
  <w:style w:type="character" w:styleId="WW8Num109z4">
    <w:name w:val="WW8Num109z4"/>
    <w:qFormat/>
    <w:rPr>
      <w:rFonts w:cs="Times New Roman"/>
      <w:b w:val="false"/>
      <w:i w:val="false"/>
      <w:caps w:val="false"/>
      <w:smallCaps w:val="false"/>
      <w:color w:val="000000"/>
      <w:sz w:val="24"/>
      <w:u w:val="none"/>
    </w:rPr>
  </w:style>
  <w:style w:type="character" w:styleId="WW8Num109z5">
    <w:name w:val="WW8Num109z5"/>
    <w:qFormat/>
    <w:rPr>
      <w:rFonts w:ascii="Times New Roman" w:hAnsi="Times New Roman" w:cs="Times New Roman"/>
      <w:b w:val="false"/>
      <w:i w:val="false"/>
      <w:caps w:val="false"/>
      <w:smallCaps w:val="false"/>
      <w:color w:val="000000"/>
      <w:u w:val="none"/>
    </w:rPr>
  </w:style>
  <w:style w:type="character" w:styleId="WW8Num111z1">
    <w:name w:val="WW8Num111z1"/>
    <w:qFormat/>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5z0">
    <w:name w:val="WW8Num115z0"/>
    <w:qFormat/>
    <w:rPr>
      <w:rFonts w:ascii="Times New Roman" w:hAnsi="Times New Roman" w:cs="Times New Roman"/>
      <w:b/>
      <w:i w:val="false"/>
      <w:caps/>
      <w:color w:val="000000"/>
      <w:u w:val="none"/>
    </w:rPr>
  </w:style>
  <w:style w:type="character" w:styleId="WW8Num115z1">
    <w:name w:val="WW8Num115z1"/>
    <w:qFormat/>
    <w:rPr>
      <w:rFonts w:ascii="Times New Roman" w:hAnsi="Times New Roman" w:cs="Times New Roman"/>
      <w:b/>
      <w:i w:val="false"/>
      <w:caps w:val="false"/>
      <w:smallCaps w:val="false"/>
      <w:color w:val="000000"/>
      <w:u w:val="none"/>
    </w:rPr>
  </w:style>
  <w:style w:type="character" w:styleId="WW8Num115z2">
    <w:name w:val="WW8Num115z2"/>
    <w:qFormat/>
    <w:rPr>
      <w:rFonts w:ascii="Times New Roman" w:hAnsi="Times New Roman" w:cs="Times New Roman"/>
      <w:b w:val="false"/>
      <w:i w:val="false"/>
      <w:caps w:val="false"/>
      <w:smallCaps w:val="false"/>
      <w:color w:val="000000"/>
      <w:u w:val="none"/>
    </w:rPr>
  </w:style>
  <w:style w:type="character" w:styleId="WW8Num117z0">
    <w:name w:val="WW8Num117z0"/>
    <w:qFormat/>
    <w:rPr>
      <w:rFonts w:ascii="Bembo" w:hAnsi="Bembo" w:cs="Bembo"/>
      <w:sz w:val="26"/>
    </w:rPr>
  </w:style>
  <w:style w:type="character" w:styleId="WW8Num118z0">
    <w:name w:val="WW8Num118z0"/>
    <w:qFormat/>
    <w:rPr/>
  </w:style>
  <w:style w:type="character" w:styleId="WW8Num119z0">
    <w:name w:val="WW8Num119z0"/>
    <w:qFormat/>
    <w:rPr/>
  </w:style>
  <w:style w:type="character" w:styleId="WW8Num122z0">
    <w:name w:val="WW8Num122z0"/>
    <w:qFormat/>
    <w:rPr>
      <w:rFonts w:ascii="Times New Roman" w:hAnsi="Times New Roman" w:cs="Times New Roman"/>
      <w:b w:val="false"/>
      <w:i w:val="false"/>
      <w:caps w:val="false"/>
      <w:smallCaps w:val="false"/>
      <w:color w:val="000000"/>
      <w:u w:val="none"/>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Times New Roman" w:hAnsi="Times New Roman" w:cs="Times New Roman"/>
      <w:b/>
      <w:i w:val="false"/>
      <w:caps w:val="false"/>
      <w:smallCaps w:val="false"/>
      <w:color w:val="000000"/>
      <w:u w:val="none"/>
    </w:rPr>
  </w:style>
  <w:style w:type="character" w:styleId="WW8Num126z1">
    <w:name w:val="WW8Num126z1"/>
    <w:qFormat/>
    <w:rPr>
      <w:rFonts w:ascii="Times New Roman" w:hAnsi="Times New Roman" w:cs="Times New Roman"/>
      <w:b w:val="false"/>
      <w:i w:val="false"/>
      <w:caps w:val="false"/>
      <w:smallCaps w:val="false"/>
      <w:color w:val="000000"/>
      <w:u w:val="none"/>
    </w:rPr>
  </w:style>
  <w:style w:type="character" w:styleId="WW8Num128z0">
    <w:name w:val="WW8Num128z0"/>
    <w:qFormat/>
    <w:rPr>
      <w:rFonts w:ascii="Bembo" w:hAnsi="Bembo" w:cs="Bembo"/>
      <w:b w:val="false"/>
      <w:i w:val="false"/>
      <w:sz w:val="26"/>
    </w:rPr>
  </w:style>
  <w:style w:type="character" w:styleId="WW8Num130z0">
    <w:name w:val="WW8Num130z0"/>
    <w:qFormat/>
    <w:rPr/>
  </w:style>
  <w:style w:type="character" w:styleId="WW8NumSt50z0">
    <w:name w:val="WW8NumSt50z0"/>
    <w:qFormat/>
    <w:rPr>
      <w:spacing w:val="0"/>
    </w:rPr>
  </w:style>
  <w:style w:type="character" w:styleId="DefaultParagraphFont">
    <w:name w:val="Default Paragraph Font"/>
    <w:qFormat/>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quationCaption">
    <w:name w:val="_Equation Caption"/>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16"/>
    </w:rPr>
  </w:style>
  <w:style w:type="character" w:styleId="Strong">
    <w:name w:val="Strong"/>
    <w:basedOn w:val="DefaultParagraphFont"/>
    <w:qFormat/>
    <w:rPr>
      <w:b/>
      <w:bCs/>
      <w:spacing w:val="0"/>
    </w:rPr>
  </w:style>
  <w:style w:type="character" w:styleId="zzmpTrailerItem">
    <w:name w:val="zzmpTrailerItem"/>
    <w:basedOn w:val="DefaultParagraphFont"/>
    <w:qFormat/>
    <w:rPr>
      <w:spacing w:val="0"/>
      <w:sz w:val="16"/>
      <w:szCs w:val="16"/>
      <w:effect w:val="blinkBackground"/>
    </w:rPr>
  </w:style>
  <w:style w:type="character" w:styleId="Hypertext">
    <w:name w:val="Hypertext"/>
    <w:qFormat/>
    <w:rPr/>
  </w:style>
  <w:style w:type="character" w:styleId="Section">
    <w:name w:val="Section"/>
    <w:qFormat/>
    <w:rPr>
      <w:i/>
      <w:iCs/>
      <w:spacing w:val="0"/>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i/>
      <w:iCs/>
      <w:strike/>
      <w:color w:val="666666"/>
      <w:spacing w:val="0"/>
    </w:rPr>
  </w:style>
  <w:style w:type="character" w:styleId="DeltaViewMoveDestination">
    <w:name w:val="DeltaView Move Destination"/>
    <w:qFormat/>
    <w:rPr>
      <w:i/>
      <w:iCs/>
      <w:color w:val="666666"/>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240" w:after="60"/>
      <w:jc w:val="center"/>
      <w:outlineLvl w:val="0"/>
    </w:pPr>
    <w:rPr>
      <w:b/>
      <w:bCs/>
      <w:kern w:val="2"/>
      <w:sz w:val="32"/>
      <w:szCs w:val="32"/>
    </w:rPr>
  </w:style>
  <w:style w:type="paragraph" w:styleId="BodyText">
    <w:name w:val="Body Text"/>
    <w:basedOn w:val="Normal"/>
    <w:pPr>
      <w:jc w:val="both"/>
    </w:pPr>
    <w:rPr/>
  </w:style>
  <w:style w:type="paragraph" w:styleId="List">
    <w:name w:val="List"/>
    <w:basedOn w:val="Normal"/>
    <w:pPr>
      <w:numPr>
        <w:ilvl w:val="0"/>
        <w:numId w:val="1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EndnoteText">
    <w:name w:val="endnote text"/>
    <w:basedOn w:val="Normal"/>
    <w:pPr>
      <w:spacing w:before="0" w:after="120"/>
    </w:pPr>
    <w:rPr>
      <w:sz w:val="16"/>
      <w:szCs w:val="20"/>
    </w:rPr>
  </w:style>
  <w:style w:type="paragraph" w:styleId="FootnoteText">
    <w:name w:val="footnote text"/>
    <w:basedOn w:val="Normal"/>
    <w:pPr>
      <w:spacing w:before="0" w:after="120"/>
      <w:ind w:hanging="187" w:start="187"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BodyText"/>
    <w:pPr>
      <w:tabs>
        <w:tab w:val="clear" w:pos="720"/>
        <w:tab w:val="right" w:pos="8280" w:leader="none"/>
      </w:tabs>
    </w:pPr>
    <w:rPr>
      <w:sz w:val="16"/>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TOC2">
    <w:name w:val="toc 2"/>
    <w:basedOn w:val="Normal"/>
    <w:next w:val="BodyText"/>
    <w:pPr>
      <w:numPr>
        <w:ilvl w:val="0"/>
        <w:numId w:val="21"/>
      </w:numPr>
      <w:tabs>
        <w:tab w:val="clear" w:pos="720"/>
        <w:tab w:val="right" w:pos="8309" w:leader="dot"/>
      </w:tabs>
      <w:spacing w:before="120" w:after="120"/>
    </w:pPr>
    <w:rPr>
      <w:smallCap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5">
    <w:name w:val="toc 5"/>
    <w:basedOn w:val="Normal"/>
    <w:pPr>
      <w:tabs>
        <w:tab w:val="clear" w:pos="720"/>
        <w:tab w:val="right" w:pos="8309" w:leader="dot"/>
      </w:tabs>
      <w:spacing w:before="120" w:after="120"/>
    </w:pPr>
    <w:rPr>
      <w:caps/>
    </w:rPr>
  </w:style>
  <w:style w:type="paragraph" w:styleId="TOC6">
    <w:name w:val="toc 6"/>
    <w:basedOn w:val="Normal"/>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8">
    <w:name w:val="toc 8"/>
    <w:basedOn w:val="Normal"/>
    <w:pPr>
      <w:tabs>
        <w:tab w:val="clear" w:pos="720"/>
        <w:tab w:val="right" w:pos="8309" w:leader="dot"/>
      </w:tabs>
      <w:ind w:hanging="0" w:start="1440" w:end="0"/>
    </w:pPr>
    <w:rPr>
      <w:i/>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TOAHeading">
    <w:name w:val="TOA Heading"/>
    <w:basedOn w:val="Normal"/>
    <w:next w:val="Normal"/>
    <w:qFormat/>
    <w:pPr>
      <w:jc w:val="center"/>
    </w:pPr>
    <w:rPr>
      <w:rFonts w:cs="Arial"/>
      <w:b/>
      <w:bCs/>
    </w:rPr>
  </w:style>
  <w:style w:type="paragraph" w:styleId="Footer">
    <w:name w:val="footer"/>
    <w:basedOn w:val="Normal"/>
    <w:pPr>
      <w:tabs>
        <w:tab w:val="clear" w:pos="720"/>
        <w:tab w:val="right" w:pos="8280" w:leader="none"/>
      </w:tabs>
    </w:pPr>
    <w:rPr>
      <w:sz w:val="16"/>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CommentText">
    <w:name w:val="Comment Text"/>
    <w:basedOn w:val="Normal"/>
    <w:qFormat/>
    <w:pPr>
      <w:ind w:firstLine="360" w:start="360" w:end="0"/>
    </w:pPr>
    <w:rPr>
      <w:sz w:val="16"/>
    </w:rPr>
  </w:style>
  <w:style w:type="paragraph" w:styleId="Date">
    <w:name w:val="Date"/>
    <w:basedOn w:val="Normal"/>
    <w:qFormat/>
    <w:pPr>
      <w:jc w:val="end"/>
    </w:pPr>
    <w:rPr/>
  </w:style>
  <w:style w:type="paragraph" w:styleId="DocumentMap">
    <w:name w:val="Document Map"/>
    <w:basedOn w:val="Normal"/>
    <w:qFormat/>
    <w:pPr>
      <w:shd w:fill="000080" w:val="clear"/>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spacing w:before="0" w:after="480"/>
      <w:jc w:val="center"/>
    </w:pPr>
    <w:rPr>
      <w:b/>
      <w:caps/>
    </w:rPr>
  </w:style>
  <w:style w:type="paragraph" w:styleId="ListBullet2">
    <w:name w:val="List Bullet 2"/>
    <w:basedOn w:val="Normal"/>
    <w:pPr>
      <w:numPr>
        <w:ilvl w:val="0"/>
        <w:numId w:val="19"/>
      </w:numPr>
    </w:pPr>
    <w:rPr/>
  </w:style>
  <w:style w:type="paragraph" w:styleId="ListBullet3">
    <w:name w:val="List Bullet 3"/>
    <w:basedOn w:val="Normal"/>
    <w:pPr>
      <w:numPr>
        <w:ilvl w:val="0"/>
        <w:numId w:val="18"/>
      </w:numPr>
    </w:pPr>
    <w:rPr/>
  </w:style>
  <w:style w:type="paragraph" w:styleId="ListBullet4">
    <w:name w:val="List Bullet 4"/>
    <w:basedOn w:val="Normal"/>
    <w:pPr>
      <w:numPr>
        <w:ilvl w:val="0"/>
        <w:numId w:val="20"/>
      </w:numPr>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4"/>
      </w:numPr>
    </w:pPr>
    <w:rPr/>
  </w:style>
  <w:style w:type="paragraph" w:styleId="ListBullet21">
    <w:name w:val="List Bullet 21"/>
    <w:basedOn w:val="Normal"/>
    <w:qFormat/>
    <w:pPr>
      <w:numPr>
        <w:ilvl w:val="0"/>
        <w:numId w:val="4"/>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5"/>
      </w:numPr>
    </w:pPr>
    <w:rPr/>
  </w:style>
  <w:style w:type="paragraph" w:styleId="ListBullet51">
    <w:name w:val="List Bullet 51"/>
    <w:basedOn w:val="Normal"/>
    <w:qFormat/>
    <w:pPr>
      <w:numPr>
        <w:ilvl w:val="0"/>
        <w:numId w:val="7"/>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22"/>
      </w:numPr>
      <w:tabs>
        <w:tab w:val="clear" w:pos="720"/>
        <w:tab w:val="left" w:pos="360" w:leader="none"/>
      </w:tabs>
      <w:ind w:hanging="360" w:start="360" w:end="0"/>
    </w:pPr>
    <w:rPr/>
  </w:style>
  <w:style w:type="paragraph" w:styleId="ListNumber2">
    <w:name w:val="List Number 2"/>
    <w:basedOn w:val="Normal"/>
    <w:qFormat/>
    <w:pPr>
      <w:numPr>
        <w:ilvl w:val="0"/>
        <w:numId w:val="23"/>
      </w:numPr>
      <w:tabs>
        <w:tab w:val="left" w:pos="720" w:leader="none"/>
      </w:tabs>
      <w:ind w:hanging="360" w:start="720" w:end="0"/>
    </w:pPr>
    <w:rPr/>
  </w:style>
  <w:style w:type="paragraph" w:styleId="ListNumber3">
    <w:name w:val="List Number 3"/>
    <w:basedOn w:val="Normal"/>
    <w:qFormat/>
    <w:pPr>
      <w:numPr>
        <w:ilvl w:val="0"/>
        <w:numId w:val="24"/>
      </w:numPr>
      <w:tabs>
        <w:tab w:val="clear" w:pos="720"/>
        <w:tab w:val="left" w:pos="1080" w:leader="none"/>
      </w:tabs>
      <w:ind w:hanging="360" w:start="1080" w:end="0"/>
    </w:pPr>
    <w:rPr/>
  </w:style>
  <w:style w:type="paragraph" w:styleId="ListNumber4">
    <w:name w:val="List Number 4"/>
    <w:basedOn w:val="Normal"/>
    <w:qFormat/>
    <w:pPr>
      <w:numPr>
        <w:ilvl w:val="0"/>
        <w:numId w:val="25"/>
      </w:numPr>
      <w:tabs>
        <w:tab w:val="clear" w:pos="720"/>
        <w:tab w:val="left" w:pos="1440" w:leader="none"/>
      </w:tabs>
      <w:ind w:hanging="360" w:start="1440" w:end="0"/>
    </w:pPr>
    <w:rPr/>
  </w:style>
  <w:style w:type="paragraph" w:styleId="ListNumber5">
    <w:name w:val="List Number 5"/>
    <w:basedOn w:val="Normal"/>
    <w:qFormat/>
    <w:pPr>
      <w:numPr>
        <w:ilvl w:val="0"/>
        <w:numId w:val="26"/>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rPr/>
  </w:style>
  <w:style w:type="paragraph" w:styleId="NoteHeading">
    <w:name w:val="Note Heading"/>
    <w:basedOn w:val="Normal"/>
    <w:next w:val="Normal"/>
    <w:qFormat/>
    <w:pPr/>
    <w:rPr/>
  </w:style>
  <w:style w:type="paragraph" w:styleId="PlainText">
    <w:name w:val="Plain Text"/>
    <w:basedOn w:val="Normal"/>
    <w:qFormat/>
    <w:pPr/>
    <w:rPr>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60" w:start="260" w:end="0"/>
    </w:pPr>
    <w:rPr/>
  </w:style>
  <w:style w:type="paragraph" w:styleId="TableofFigures">
    <w:name w:val="Table of Figures"/>
    <w:basedOn w:val="Normal"/>
    <w:next w:val="Normal"/>
    <w:qFormat/>
    <w:pPr>
      <w:ind w:hanging="480" w:start="480" w:end="0"/>
    </w:pPr>
    <w:rPr/>
  </w:style>
  <w:style w:type="paragraph" w:styleId="BIIOldL1">
    <w:name w:val="BIIOld_L1"/>
    <w:basedOn w:val="Normal"/>
    <w:next w:val="Normal"/>
    <w:qFormat/>
    <w:pPr>
      <w:keepNext w:val="true"/>
      <w:numPr>
        <w:ilvl w:val="0"/>
        <w:numId w:val="15"/>
      </w:numPr>
      <w:outlineLvl w:val="0"/>
    </w:pPr>
    <w:rPr/>
  </w:style>
  <w:style w:type="paragraph" w:styleId="BIIOldL2">
    <w:name w:val="BIIOld_L2"/>
    <w:basedOn w:val="Normal"/>
    <w:next w:val="Normal"/>
    <w:qFormat/>
    <w:pPr>
      <w:numPr>
        <w:ilvl w:val="0"/>
        <w:numId w:val="15"/>
      </w:numPr>
      <w:outlineLvl w:val="1"/>
    </w:pPr>
    <w:rPr>
      <w:u w:val="single"/>
    </w:rPr>
  </w:style>
  <w:style w:type="paragraph" w:styleId="BIIOldL3">
    <w:name w:val="BIIOld_L3"/>
    <w:basedOn w:val="Normal"/>
    <w:next w:val="Normal"/>
    <w:qFormat/>
    <w:pPr>
      <w:numPr>
        <w:ilvl w:val="0"/>
        <w:numId w:val="15"/>
      </w:numPr>
      <w:outlineLvl w:val="2"/>
    </w:pPr>
    <w:rPr/>
  </w:style>
  <w:style w:type="paragraph" w:styleId="BIIOldL4">
    <w:name w:val="BIIOld_L4"/>
    <w:basedOn w:val="Normal"/>
    <w:next w:val="Normal"/>
    <w:qFormat/>
    <w:pPr>
      <w:numPr>
        <w:ilvl w:val="0"/>
        <w:numId w:val="15"/>
      </w:numPr>
      <w:outlineLvl w:val="3"/>
    </w:pPr>
    <w:rPr/>
  </w:style>
  <w:style w:type="paragraph" w:styleId="BIIOldL5">
    <w:name w:val="BIIOld_L5"/>
    <w:basedOn w:val="Normal"/>
    <w:next w:val="Normal"/>
    <w:qFormat/>
    <w:pPr>
      <w:keepNext w:val="true"/>
      <w:widowControl w:val="false"/>
      <w:numPr>
        <w:ilvl w:val="0"/>
        <w:numId w:val="15"/>
      </w:numPr>
      <w:outlineLvl w:val="4"/>
    </w:pPr>
    <w:rPr/>
  </w:style>
  <w:style w:type="paragraph" w:styleId="2indents">
    <w:name w:val="2indents"/>
    <w:basedOn w:val="BodyText"/>
    <w:qFormat/>
    <w:pPr>
      <w:ind w:hanging="720" w:start="1440" w:end="0"/>
    </w:pPr>
    <w:rPr>
      <w:rFonts w:ascii="Bembo" w:hAnsi="Bembo" w:cs="Bembo"/>
      <w:sz w:val="26"/>
      <w:szCs w:val="26"/>
      <w:lang w:val="en-GB"/>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jc w:val="both"/>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Label">
    <w:name w:val="Label"/>
    <w:basedOn w:val="BodyText"/>
    <w:qFormat/>
    <w:pPr>
      <w:spacing w:lineRule="exact" w:line="280" w:before="240" w:after="120"/>
      <w:ind w:hanging="0" w:start="284" w:end="0"/>
    </w:pPr>
    <w:rPr/>
  </w:style>
  <w:style w:type="paragraph" w:styleId="Paragraph2">
    <w:name w:val="Paragraph 2"/>
    <w:basedOn w:val="Normal"/>
    <w:qFormat/>
    <w:pPr>
      <w:widowControl w:val="false"/>
      <w:tabs>
        <w:tab w:val="clear" w:pos="720"/>
        <w:tab w:val="left" w:pos="-1440" w:leader="none"/>
        <w:tab w:val="left" w:pos="-720" w:leader="none"/>
        <w:tab w:val="left" w:pos="0" w:leader="none"/>
        <w:tab w:val="right" w:pos="180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000" w:leader="none"/>
        <w:tab w:val="left" w:pos="9720" w:leader="none"/>
      </w:tabs>
      <w:ind w:hanging="0" w:start="720" w:end="0"/>
    </w:pPr>
    <w:rPr>
      <w:rFonts w:ascii="Palatino;Book Antiqua" w:hAnsi="Palatino;Book Antiqua" w:cs="Palatino;Book Antiqua"/>
    </w:rPr>
  </w:style>
  <w:style w:type="paragraph" w:styleId="Legal2L4">
    <w:name w:val="Legal2_L4"/>
    <w:basedOn w:val="Normal"/>
    <w:qFormat/>
    <w:pPr>
      <w:widowControl w:val="false"/>
      <w:ind w:firstLine="720" w:start="720" w:end="0"/>
    </w:pPr>
    <w:rPr/>
  </w:style>
  <w:style w:type="paragraph" w:styleId="BodyContinued">
    <w:name w:val="Body Continued"/>
    <w:basedOn w:val="Normal"/>
    <w:qFormat/>
    <w:pPr>
      <w:widowControl w:val="false"/>
    </w:pPr>
    <w:rPr/>
  </w:style>
  <w:style w:type="paragraph" w:styleId="Legal2L5">
    <w:name w:val="Legal2_L5"/>
    <w:basedOn w:val="Legal2L4"/>
    <w:qFormat/>
    <w:pPr>
      <w:ind w:firstLine="720" w:start="1440" w:end="0"/>
    </w:pPr>
    <w:rPr/>
  </w:style>
  <w:style w:type="paragraph" w:styleId="CPNormal">
    <w:name w:val="CPNormal"/>
    <w:basedOn w:val="Normal"/>
    <w:qFormat/>
    <w:pPr>
      <w:ind w:firstLine="1440" w:start="0" w:end="0"/>
    </w:pPr>
    <w:rPr/>
  </w:style>
  <w:style w:type="paragraph" w:styleId="E-mailSignature">
    <w:name w:val="E-mail Signature"/>
    <w:basedOn w:val="Normal"/>
    <w:qFormat/>
    <w:pPr/>
    <w:rPr/>
  </w:style>
  <w:style w:type="paragraph" w:styleId="IndexHeading2">
    <w:name w:val="Index Heading 2"/>
    <w:basedOn w:val="IndexHeading"/>
    <w:qFormat/>
    <w:pPr>
      <w:tabs>
        <w:tab w:val="clear" w:pos="720"/>
        <w:tab w:val="right" w:pos="8280" w:leader="none"/>
      </w:tabs>
      <w:jc w:val="start"/>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2000-11-08T14:32:00Z</dcterms:created>
  <dc:creator>MEC</dc:creator>
  <dc:description/>
  <dc:language>en-CA</dc:language>
  <cp:lastModifiedBy>Melissa Raciti</cp:lastModifiedBy>
  <cp:lastPrinted>2000-10-09T17:22:00Z</cp:lastPrinted>
  <dcterms:modified xsi:type="dcterms:W3CDTF">2000-11-08T14:32:00Z</dcterms:modified>
  <cp:revision>2</cp:revision>
  <dc:subject>24+</dc:subject>
  <dc:title>MTH&amp;M DRAFT 8/11/98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