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footnotes.xml" ContentType="application/vnd.openxmlformats-officedocument.wordprocessingml.footnotes+xml"/>
  <Override PartName="/word/footer7.xml" ContentType="application/vnd.openxmlformats-officedocument.wordprocessingml.footer+xml"/>
  <Override PartName="/word/numbering.xml" ContentType="application/vnd.openxmlformats-officedocument.wordprocessingml.numbering+xml"/>
  <Override PartName="/word/footer6.xml" ContentType="application/vnd.openxmlformats-officedocument.wordprocessingml.foot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DeltaViewTableBody"/>
        <w:rPr/>
      </w:pPr>
      <w:bookmarkStart w:id="0" w:name="_DV_X0"/>
      <w:bookmarkEnd w:id="0"/>
      <w:r>
        <w:rPr/>
        <w:t xml:space="preserve">Document comparison done by </w:t>
      </w:r>
      <w:bookmarkStart w:id="1" w:name="Program"/>
      <w:r>
        <w:rPr/>
        <w:t>DeltaView</w:t>
      </w:r>
      <w:bookmarkEnd w:id="1"/>
      <w:r>
        <w:rPr/>
        <w:t xml:space="preserve"> on </w:t>
      </w:r>
      <w:bookmarkStart w:id="2" w:name="Date"/>
      <w:r>
        <w:rPr/>
        <w:t>Friday, November 17, 2000 20:33:10</w:t>
      </w:r>
      <w:bookmarkEnd w:id="2"/>
    </w:p>
    <w:tbl>
      <w:tblPr>
        <w:tblW w:w="8295" w:type="dxa"/>
        <w:jc w:val="start"/>
        <w:tblInd w:w="0" w:type="dxa"/>
        <w:tblLayout w:type="fixed"/>
        <w:tblCellMar>
          <w:top w:w="0" w:type="dxa"/>
          <w:start w:w="15" w:type="dxa"/>
          <w:bottom w:w="0" w:type="dxa"/>
          <w:end w:w="15" w:type="dxa"/>
        </w:tblCellMar>
      </w:tblPr>
      <w:tblGrid>
        <w:gridCol w:w="1815"/>
        <w:gridCol w:w="6480"/>
      </w:tblGrid>
      <w:tr>
        <w:trPr/>
        <w:tc>
          <w:tcPr>
            <w:tcW w:w="8295" w:type="dxa"/>
            <w:gridSpan w:val="2"/>
            <w:tcBorders>
              <w:top w:val="single" w:sz="6" w:space="0" w:color="000000"/>
              <w:start w:val="single" w:sz="6" w:space="0" w:color="000000"/>
              <w:bottom w:val="single" w:sz="6" w:space="0" w:color="000000"/>
              <w:end w:val="single" w:sz="6" w:space="0" w:color="000000"/>
            </w:tcBorders>
            <w:shd w:fill="C0C0C0" w:val="clear"/>
            <w:vAlign w:val="center"/>
          </w:tcPr>
          <w:p>
            <w:pPr>
              <w:pStyle w:val="DeltaViewTableHeading"/>
              <w:spacing w:before="0" w:after="120"/>
              <w:rPr/>
            </w:pPr>
            <w:r>
              <w:rPr/>
              <w:t>Input:</w:t>
            </w:r>
          </w:p>
        </w:tc>
      </w:tr>
      <w:tr>
        <w:trPr/>
        <w:tc>
          <w:tcPr>
            <w:tcW w:w="1815" w:type="dxa"/>
            <w:tcBorders>
              <w:top w:val="single" w:sz="6" w:space="0" w:color="000000"/>
              <w:start w:val="single" w:sz="6" w:space="0" w:color="000000"/>
              <w:bottom w:val="single" w:sz="6" w:space="0" w:color="000000"/>
              <w:end w:val="single" w:sz="6" w:space="0" w:color="000000"/>
            </w:tcBorders>
            <w:vAlign w:val="center"/>
          </w:tcPr>
          <w:p>
            <w:pPr>
              <w:pStyle w:val="DeltaViewTableBody"/>
              <w:rPr/>
            </w:pPr>
            <w:r>
              <w:rPr/>
              <w:t>Document 1</w:t>
            </w:r>
          </w:p>
        </w:tc>
        <w:tc>
          <w:tcPr>
            <w:tcW w:w="6480" w:type="dxa"/>
            <w:tcBorders>
              <w:top w:val="single" w:sz="6" w:space="0" w:color="000000"/>
              <w:start w:val="single" w:sz="6" w:space="0" w:color="000000"/>
              <w:bottom w:val="single" w:sz="6" w:space="0" w:color="000000"/>
              <w:end w:val="single" w:sz="6" w:space="0" w:color="000000"/>
            </w:tcBorders>
            <w:vAlign w:val="center"/>
          </w:tcPr>
          <w:p>
            <w:pPr>
              <w:pStyle w:val="DeltaViewTableBody"/>
              <w:rPr/>
            </w:pPr>
            <w:bookmarkStart w:id="3" w:name="Doc1"/>
            <w:r>
              <w:rPr/>
              <w:t>C:\My Documents\ClearView\WINWORD\files\Copy.001</w:t>
            </w:r>
            <w:bookmarkEnd w:id="3"/>
            <w:r>
              <w:rPr/>
              <w:t xml:space="preserve"> </w:t>
            </w:r>
          </w:p>
        </w:tc>
      </w:tr>
      <w:tr>
        <w:trPr/>
        <w:tc>
          <w:tcPr>
            <w:tcW w:w="1815" w:type="dxa"/>
            <w:tcBorders>
              <w:top w:val="single" w:sz="6" w:space="0" w:color="000000"/>
              <w:start w:val="single" w:sz="6" w:space="0" w:color="000000"/>
              <w:bottom w:val="single" w:sz="6" w:space="0" w:color="000000"/>
              <w:end w:val="single" w:sz="6" w:space="0" w:color="000000"/>
            </w:tcBorders>
            <w:vAlign w:val="center"/>
          </w:tcPr>
          <w:p>
            <w:pPr>
              <w:pStyle w:val="DeltaViewTableBody"/>
              <w:rPr/>
            </w:pPr>
            <w:r>
              <w:rPr/>
              <w:t>Document 2</w:t>
            </w:r>
          </w:p>
        </w:tc>
        <w:tc>
          <w:tcPr>
            <w:tcW w:w="6480" w:type="dxa"/>
            <w:tcBorders>
              <w:top w:val="single" w:sz="6" w:space="0" w:color="000000"/>
              <w:start w:val="single" w:sz="6" w:space="0" w:color="000000"/>
              <w:bottom w:val="single" w:sz="6" w:space="0" w:color="000000"/>
              <w:end w:val="single" w:sz="6" w:space="0" w:color="000000"/>
            </w:tcBorders>
            <w:vAlign w:val="center"/>
          </w:tcPr>
          <w:p>
            <w:pPr>
              <w:pStyle w:val="DeltaViewTableBody"/>
              <w:rPr/>
            </w:pPr>
            <w:bookmarkStart w:id="4" w:name="Doc2"/>
            <w:r>
              <w:rPr/>
              <w:t>C:\My Documents\ClearView\WINWORD\files\NY991050.085</w:t>
            </w:r>
            <w:bookmarkEnd w:id="4"/>
            <w:r>
              <w:rPr/>
              <w:t xml:space="preserve"> </w:t>
            </w:r>
          </w:p>
        </w:tc>
      </w:tr>
      <w:tr>
        <w:trPr/>
        <w:tc>
          <w:tcPr>
            <w:tcW w:w="1815" w:type="dxa"/>
            <w:tcBorders>
              <w:top w:val="single" w:sz="6" w:space="0" w:color="000000"/>
              <w:start w:val="single" w:sz="6" w:space="0" w:color="000000"/>
              <w:bottom w:val="single" w:sz="6" w:space="0" w:color="000000"/>
              <w:end w:val="single" w:sz="6" w:space="0" w:color="000000"/>
            </w:tcBorders>
            <w:vAlign w:val="center"/>
          </w:tcPr>
          <w:p>
            <w:pPr>
              <w:pStyle w:val="DeltaViewTableBody"/>
              <w:rPr/>
            </w:pPr>
            <w:r>
              <w:rPr/>
              <w:t>Rendering set</w:t>
            </w:r>
          </w:p>
        </w:tc>
        <w:tc>
          <w:tcPr>
            <w:tcW w:w="6480" w:type="dxa"/>
            <w:tcBorders>
              <w:top w:val="single" w:sz="6" w:space="0" w:color="000000"/>
              <w:start w:val="single" w:sz="6" w:space="0" w:color="000000"/>
              <w:bottom w:val="single" w:sz="6" w:space="0" w:color="000000"/>
              <w:end w:val="single" w:sz="6" w:space="0" w:color="000000"/>
            </w:tcBorders>
            <w:vAlign w:val="center"/>
          </w:tcPr>
          <w:p>
            <w:pPr>
              <w:pStyle w:val="DeltaViewTableBody"/>
              <w:rPr/>
            </w:pPr>
            <w:bookmarkStart w:id="5" w:name="RenderingSet"/>
            <w:r>
              <w:rPr/>
              <w:t>Freshfields Strikethrough</w:t>
            </w:r>
            <w:bookmarkEnd w:id="5"/>
          </w:p>
        </w:tc>
      </w:tr>
    </w:tbl>
    <w:p>
      <w:pPr>
        <w:pStyle w:val="DeltaViewTableBody"/>
        <w:rPr/>
      </w:pPr>
      <w:r>
        <w:rPr/>
      </w:r>
    </w:p>
    <w:tbl>
      <w:tblPr>
        <w:tblW w:w="4995" w:type="dxa"/>
        <w:jc w:val="start"/>
        <w:tblInd w:w="0" w:type="dxa"/>
        <w:tblLayout w:type="fixed"/>
        <w:tblCellMar>
          <w:top w:w="0" w:type="dxa"/>
          <w:start w:w="30" w:type="dxa"/>
          <w:bottom w:w="0" w:type="dxa"/>
          <w:end w:w="30" w:type="dxa"/>
        </w:tblCellMar>
      </w:tblPr>
      <w:tblGrid>
        <w:gridCol w:w="2010"/>
        <w:gridCol w:w="2985"/>
      </w:tblGrid>
      <w:tr>
        <w:trPr/>
        <w:tc>
          <w:tcPr>
            <w:tcW w:w="4995" w:type="dxa"/>
            <w:gridSpan w:val="2"/>
            <w:tcBorders>
              <w:top w:val="single" w:sz="6" w:space="0" w:color="000000"/>
              <w:start w:val="single" w:sz="6" w:space="0" w:color="000000"/>
              <w:bottom w:val="single" w:sz="6" w:space="0" w:color="000000"/>
              <w:end w:val="single" w:sz="6" w:space="0" w:color="000000"/>
            </w:tcBorders>
            <w:shd w:fill="C0C0C0" w:val="clear"/>
            <w:vAlign w:val="center"/>
          </w:tcPr>
          <w:p>
            <w:pPr>
              <w:pStyle w:val="DeltaViewTableHeading"/>
              <w:spacing w:before="0" w:after="120"/>
              <w:rPr/>
            </w:pPr>
            <w:r>
              <w:rPr/>
              <w:t>Legend:</w:t>
            </w:r>
          </w:p>
        </w:tc>
      </w:tr>
      <w:tr>
        <w:trPr/>
        <w:tc>
          <w:tcPr>
            <w:tcW w:w="4995" w:type="dxa"/>
            <w:gridSpan w:val="2"/>
            <w:tcBorders>
              <w:top w:val="single" w:sz="6" w:space="0" w:color="000000"/>
              <w:start w:val="single" w:sz="6" w:space="0" w:color="000000"/>
              <w:bottom w:val="single" w:sz="6" w:space="0" w:color="000000"/>
              <w:end w:val="single" w:sz="6" w:space="0" w:color="000000"/>
            </w:tcBorders>
            <w:vAlign w:val="center"/>
          </w:tcPr>
          <w:p>
            <w:pPr>
              <w:pStyle w:val="DeltaViewTableBody"/>
              <w:rPr>
                <w:rFonts w:ascii="Times New Roman" w:hAnsi="Times New Roman" w:cs="Times New Roman"/>
                <w:color w:val="0000FF"/>
                <w:u w:val="double"/>
              </w:rPr>
            </w:pPr>
            <w:bookmarkStart w:id="6" w:name="Leg_Ins"/>
            <w:r>
              <w:rPr>
                <w:rStyle w:val="DeltaViewInsertion"/>
                <w:rFonts w:cs="Times New Roman" w:ascii="Times New Roman" w:hAnsi="Times New Roman"/>
              </w:rPr>
              <w:t xml:space="preserve">Insertion </w:t>
            </w:r>
            <w:bookmarkEnd w:id="6"/>
          </w:p>
        </w:tc>
      </w:tr>
      <w:tr>
        <w:trPr/>
        <w:tc>
          <w:tcPr>
            <w:tcW w:w="4995" w:type="dxa"/>
            <w:gridSpan w:val="2"/>
            <w:tcBorders>
              <w:top w:val="single" w:sz="6" w:space="0" w:color="000000"/>
              <w:start w:val="single" w:sz="6" w:space="0" w:color="000000"/>
              <w:bottom w:val="single" w:sz="6" w:space="0" w:color="000000"/>
              <w:end w:val="single" w:sz="6" w:space="0" w:color="000000"/>
            </w:tcBorders>
            <w:vAlign w:val="center"/>
          </w:tcPr>
          <w:p>
            <w:pPr>
              <w:pStyle w:val="DeltaViewTableBody"/>
              <w:rPr>
                <w:rFonts w:ascii="Times New Roman" w:hAnsi="Times New Roman" w:cs="Times New Roman"/>
                <w:strike/>
                <w:color w:val="FF0000"/>
              </w:rPr>
            </w:pPr>
            <w:bookmarkStart w:id="7" w:name="Leg_Del"/>
            <w:r>
              <w:rPr>
                <w:rStyle w:val="DeltaViewDeletion"/>
                <w:rFonts w:cs="Times New Roman" w:ascii="Times New Roman" w:hAnsi="Times New Roman"/>
              </w:rPr>
              <w:t xml:space="preserve">Deletion </w:t>
            </w:r>
            <w:bookmarkEnd w:id="7"/>
          </w:p>
        </w:tc>
      </w:tr>
      <w:tr>
        <w:trPr/>
        <w:tc>
          <w:tcPr>
            <w:tcW w:w="4995" w:type="dxa"/>
            <w:gridSpan w:val="2"/>
            <w:tcBorders>
              <w:top w:val="single" w:sz="6" w:space="0" w:color="000000"/>
              <w:start w:val="single" w:sz="6" w:space="0" w:color="000000"/>
              <w:bottom w:val="single" w:sz="6" w:space="0" w:color="000000"/>
              <w:end w:val="single" w:sz="6" w:space="0" w:color="000000"/>
            </w:tcBorders>
            <w:vAlign w:val="center"/>
          </w:tcPr>
          <w:p>
            <w:pPr>
              <w:pStyle w:val="DeltaViewTableBody"/>
              <w:rPr>
                <w:rFonts w:ascii="Times New Roman" w:hAnsi="Times New Roman" w:cs="Times New Roman"/>
                <w:i/>
                <w:i/>
                <w:iCs/>
                <w:strike/>
                <w:color w:val="666666"/>
              </w:rPr>
            </w:pPr>
            <w:bookmarkStart w:id="8" w:name="Leg_MoveSource"/>
            <w:r>
              <w:rPr>
                <w:rStyle w:val="DeltaViewMoveSource"/>
                <w:rFonts w:cs="Times New Roman" w:ascii="Times New Roman" w:hAnsi="Times New Roman"/>
              </w:rPr>
              <w:t xml:space="preserve">Moved from </w:t>
            </w:r>
            <w:bookmarkEnd w:id="8"/>
          </w:p>
        </w:tc>
      </w:tr>
      <w:tr>
        <w:trPr/>
        <w:tc>
          <w:tcPr>
            <w:tcW w:w="4995" w:type="dxa"/>
            <w:gridSpan w:val="2"/>
            <w:tcBorders>
              <w:top w:val="single" w:sz="6" w:space="0" w:color="000000"/>
              <w:start w:val="single" w:sz="6" w:space="0" w:color="000000"/>
              <w:bottom w:val="single" w:sz="6" w:space="0" w:color="000000"/>
              <w:end w:val="single" w:sz="6" w:space="0" w:color="000000"/>
            </w:tcBorders>
            <w:vAlign w:val="center"/>
          </w:tcPr>
          <w:p>
            <w:pPr>
              <w:pStyle w:val="DeltaViewTableBody"/>
              <w:rPr>
                <w:rFonts w:ascii="Times New Roman" w:hAnsi="Times New Roman" w:cs="Times New Roman"/>
                <w:i/>
                <w:i/>
                <w:iCs/>
                <w:color w:val="666666"/>
                <w:u w:val="double"/>
              </w:rPr>
            </w:pPr>
            <w:bookmarkStart w:id="9" w:name="Leg_MoveDest"/>
            <w:r>
              <w:rPr>
                <w:rStyle w:val="DeltaViewMoveDestination"/>
                <w:rFonts w:cs="Times New Roman" w:ascii="Times New Roman" w:hAnsi="Times New Roman"/>
              </w:rPr>
              <w:t xml:space="preserve">Moved to </w:t>
            </w:r>
            <w:bookmarkEnd w:id="9"/>
          </w:p>
        </w:tc>
      </w:tr>
      <w:tr>
        <w:trPr/>
        <w:tc>
          <w:tcPr>
            <w:tcW w:w="4995" w:type="dxa"/>
            <w:gridSpan w:val="2"/>
            <w:tcBorders>
              <w:top w:val="single" w:sz="6" w:space="0" w:color="000000"/>
              <w:start w:val="single" w:sz="6" w:space="0" w:color="000000"/>
              <w:bottom w:val="single" w:sz="6" w:space="0" w:color="000000"/>
              <w:end w:val="single" w:sz="6" w:space="0" w:color="000000"/>
            </w:tcBorders>
            <w:vAlign w:val="center"/>
          </w:tcPr>
          <w:p>
            <w:pPr>
              <w:pStyle w:val="DeltaViewTableBody"/>
              <w:rPr>
                <w:rFonts w:ascii="Times New Roman" w:hAnsi="Times New Roman" w:cs="Times New Roman"/>
                <w:highlight w:val="white"/>
              </w:rPr>
            </w:pPr>
            <w:bookmarkStart w:id="10" w:name="Leg_FormatChange"/>
            <w:r>
              <w:rPr>
                <w:rStyle w:val="DeltaViewFormatChange"/>
                <w:rFonts w:cs="Times New Roman" w:ascii="Times New Roman" w:hAnsi="Times New Roman"/>
                <w:color w:val="000000"/>
                <w:highlight w:val="white"/>
              </w:rPr>
              <w:t xml:space="preserve">Format change </w:t>
            </w:r>
            <w:bookmarkEnd w:id="10"/>
          </w:p>
        </w:tc>
      </w:tr>
      <w:tr>
        <w:trPr/>
        <w:tc>
          <w:tcPr>
            <w:tcW w:w="2010" w:type="dxa"/>
            <w:tcBorders>
              <w:top w:val="single" w:sz="6" w:space="0" w:color="000000"/>
              <w:start w:val="single" w:sz="6" w:space="0" w:color="000000"/>
              <w:bottom w:val="single" w:sz="6" w:space="0" w:color="000000"/>
              <w:end w:val="single" w:sz="6" w:space="0" w:color="000000"/>
            </w:tcBorders>
            <w:vAlign w:val="center"/>
          </w:tcPr>
          <w:p>
            <w:pPr>
              <w:pStyle w:val="DeltaViewTableBody"/>
              <w:rPr/>
            </w:pPr>
            <w:r>
              <w:rPr/>
              <w:t>Inserted cell</w:t>
            </w:r>
          </w:p>
        </w:tc>
        <w:tc>
          <w:tcPr>
            <w:tcW w:w="2985" w:type="dxa"/>
            <w:tcBorders>
              <w:top w:val="single" w:sz="6" w:space="0" w:color="000000"/>
              <w:start w:val="single" w:sz="6" w:space="0" w:color="000000"/>
              <w:bottom w:val="single" w:sz="6" w:space="0" w:color="000000"/>
              <w:end w:val="single" w:sz="6" w:space="0" w:color="000000"/>
            </w:tcBorders>
            <w:shd w:fill="E5E5E5" w:val="clear"/>
            <w:vAlign w:val="center"/>
          </w:tcPr>
          <w:p>
            <w:pPr>
              <w:pStyle w:val="DeltaViewTableBody"/>
              <w:rPr/>
            </w:pPr>
            <w:bookmarkStart w:id="11" w:name="Cell_Ins"/>
            <w:bookmarkEnd w:id="11"/>
            <w:r>
              <w:rPr/>
              <w:t> </w:t>
            </w:r>
          </w:p>
        </w:tc>
      </w:tr>
      <w:tr>
        <w:trPr/>
        <w:tc>
          <w:tcPr>
            <w:tcW w:w="2010" w:type="dxa"/>
            <w:tcBorders>
              <w:top w:val="single" w:sz="6" w:space="0" w:color="000000"/>
              <w:start w:val="single" w:sz="6" w:space="0" w:color="000000"/>
              <w:bottom w:val="single" w:sz="6" w:space="0" w:color="000000"/>
              <w:end w:val="single" w:sz="6" w:space="0" w:color="000000"/>
            </w:tcBorders>
            <w:vAlign w:val="center"/>
          </w:tcPr>
          <w:p>
            <w:pPr>
              <w:pStyle w:val="DeltaViewTableBody"/>
              <w:rPr/>
            </w:pPr>
            <w:r>
              <w:rPr/>
              <w:t>Deleted cell</w:t>
            </w:r>
          </w:p>
        </w:tc>
        <w:tc>
          <w:tcPr>
            <w:tcW w:w="2985" w:type="dxa"/>
            <w:tcBorders>
              <w:top w:val="single" w:sz="6" w:space="0" w:color="000000"/>
              <w:start w:val="single" w:sz="6" w:space="0" w:color="000000"/>
              <w:bottom w:val="single" w:sz="6" w:space="0" w:color="000000"/>
              <w:end w:val="single" w:sz="6" w:space="0" w:color="000000"/>
            </w:tcBorders>
            <w:shd w:fill="CCCCCC" w:val="clear"/>
            <w:vAlign w:val="center"/>
          </w:tcPr>
          <w:p>
            <w:pPr>
              <w:pStyle w:val="DeltaViewTableBody"/>
              <w:rPr/>
            </w:pPr>
            <w:bookmarkStart w:id="12" w:name="Cell_Del"/>
            <w:bookmarkEnd w:id="12"/>
            <w:r>
              <w:rPr/>
              <w:t> </w:t>
            </w:r>
          </w:p>
        </w:tc>
      </w:tr>
      <w:tr>
        <w:trPr/>
        <w:tc>
          <w:tcPr>
            <w:tcW w:w="2010" w:type="dxa"/>
            <w:tcBorders>
              <w:top w:val="single" w:sz="6" w:space="0" w:color="000000"/>
              <w:start w:val="single" w:sz="6" w:space="0" w:color="000000"/>
              <w:bottom w:val="single" w:sz="6" w:space="0" w:color="000000"/>
              <w:end w:val="single" w:sz="6" w:space="0" w:color="000000"/>
            </w:tcBorders>
            <w:vAlign w:val="center"/>
          </w:tcPr>
          <w:p>
            <w:pPr>
              <w:pStyle w:val="DeltaViewTableBody"/>
              <w:rPr/>
            </w:pPr>
            <w:r>
              <w:rPr/>
              <w:t>Moved cell</w:t>
            </w:r>
          </w:p>
        </w:tc>
        <w:tc>
          <w:tcPr>
            <w:tcW w:w="2985" w:type="dxa"/>
            <w:tcBorders>
              <w:top w:val="single" w:sz="6" w:space="0" w:color="000000"/>
              <w:start w:val="single" w:sz="6" w:space="0" w:color="000000"/>
              <w:bottom w:val="single" w:sz="6" w:space="0" w:color="000000"/>
              <w:end w:val="single" w:sz="6" w:space="0" w:color="000000"/>
            </w:tcBorders>
            <w:shd w:fill="7F7F7F" w:val="clear"/>
            <w:vAlign w:val="center"/>
          </w:tcPr>
          <w:p>
            <w:pPr>
              <w:pStyle w:val="DeltaViewTableBody"/>
              <w:snapToGrid w:val="false"/>
              <w:rPr/>
            </w:pPr>
            <w:r>
              <w:rPr/>
            </w:r>
            <w:bookmarkStart w:id="13" w:name="Cell_Move"/>
            <w:bookmarkStart w:id="14" w:name="Cell_Move"/>
            <w:bookmarkEnd w:id="14"/>
          </w:p>
        </w:tc>
      </w:tr>
      <w:tr>
        <w:trPr/>
        <w:tc>
          <w:tcPr>
            <w:tcW w:w="2010" w:type="dxa"/>
            <w:tcBorders>
              <w:top w:val="single" w:sz="6" w:space="0" w:color="000000"/>
              <w:start w:val="single" w:sz="6" w:space="0" w:color="000000"/>
              <w:bottom w:val="single" w:sz="6" w:space="0" w:color="000000"/>
              <w:end w:val="single" w:sz="6" w:space="0" w:color="000000"/>
            </w:tcBorders>
            <w:vAlign w:val="center"/>
          </w:tcPr>
          <w:p>
            <w:pPr>
              <w:pStyle w:val="DeltaViewTableBody"/>
              <w:rPr/>
            </w:pPr>
            <w:r>
              <w:rPr/>
              <w:t>Split/Merged cell</w:t>
            </w:r>
          </w:p>
        </w:tc>
        <w:tc>
          <w:tcPr>
            <w:tcW w:w="2985" w:type="dxa"/>
            <w:tcBorders>
              <w:top w:val="single" w:sz="6" w:space="0" w:color="000000"/>
              <w:start w:val="single" w:sz="6" w:space="0" w:color="000000"/>
              <w:bottom w:val="single" w:sz="6" w:space="0" w:color="000000"/>
              <w:end w:val="single" w:sz="6" w:space="0" w:color="000000"/>
            </w:tcBorders>
            <w:shd w:fill="4C4C4C" w:val="clear"/>
            <w:vAlign w:val="center"/>
          </w:tcPr>
          <w:p>
            <w:pPr>
              <w:pStyle w:val="DeltaViewTableBody"/>
              <w:snapToGrid w:val="false"/>
              <w:rPr/>
            </w:pPr>
            <w:r>
              <w:rPr/>
            </w:r>
            <w:bookmarkStart w:id="15" w:name="Cell_Merge"/>
            <w:bookmarkStart w:id="16" w:name="Cell_Merge"/>
            <w:bookmarkEnd w:id="16"/>
          </w:p>
        </w:tc>
      </w:tr>
      <w:tr>
        <w:trPr/>
        <w:tc>
          <w:tcPr>
            <w:tcW w:w="2010" w:type="dxa"/>
            <w:tcBorders>
              <w:top w:val="single" w:sz="6" w:space="0" w:color="000000"/>
              <w:start w:val="single" w:sz="6" w:space="0" w:color="000000"/>
              <w:bottom w:val="single" w:sz="6" w:space="0" w:color="000000"/>
              <w:end w:val="single" w:sz="6" w:space="0" w:color="000000"/>
            </w:tcBorders>
            <w:vAlign w:val="center"/>
          </w:tcPr>
          <w:p>
            <w:pPr>
              <w:pStyle w:val="DeltaViewTableBody"/>
              <w:rPr/>
            </w:pPr>
            <w:r>
              <w:rPr/>
              <w:t>Padding cell</w:t>
            </w:r>
          </w:p>
        </w:tc>
        <w:tc>
          <w:tcPr>
            <w:tcW w:w="2985" w:type="dxa"/>
            <w:tcBorders>
              <w:top w:val="single" w:sz="6" w:space="0" w:color="000000"/>
              <w:start w:val="single" w:sz="6" w:space="0" w:color="000000"/>
              <w:bottom w:val="single" w:sz="6" w:space="0" w:color="000000"/>
              <w:end w:val="single" w:sz="6" w:space="0" w:color="000000"/>
            </w:tcBorders>
            <w:shd w:fill="333333" w:val="clear"/>
            <w:vAlign w:val="center"/>
          </w:tcPr>
          <w:p>
            <w:pPr>
              <w:pStyle w:val="DeltaViewTableBody"/>
              <w:snapToGrid w:val="false"/>
              <w:rPr/>
            </w:pPr>
            <w:r>
              <w:rPr/>
            </w:r>
            <w:bookmarkStart w:id="17" w:name="Cell_Pad"/>
            <w:bookmarkStart w:id="18" w:name="Cell_Pad"/>
            <w:bookmarkEnd w:id="18"/>
          </w:p>
        </w:tc>
      </w:tr>
    </w:tbl>
    <w:p>
      <w:pPr>
        <w:pStyle w:val="DeltaViewTableBody"/>
        <w:rPr/>
      </w:pPr>
      <w:r>
        <w:rPr/>
      </w:r>
    </w:p>
    <w:tbl>
      <w:tblPr>
        <w:tblW w:w="4995" w:type="dxa"/>
        <w:jc w:val="start"/>
        <w:tblInd w:w="0" w:type="dxa"/>
        <w:tblLayout w:type="fixed"/>
        <w:tblCellMar>
          <w:top w:w="0" w:type="dxa"/>
          <w:start w:w="30" w:type="dxa"/>
          <w:bottom w:w="0" w:type="dxa"/>
          <w:end w:w="30" w:type="dxa"/>
        </w:tblCellMar>
      </w:tblPr>
      <w:tblGrid>
        <w:gridCol w:w="2010"/>
        <w:gridCol w:w="1463"/>
        <w:gridCol w:w="1522"/>
      </w:tblGrid>
      <w:tr>
        <w:trPr/>
        <w:tc>
          <w:tcPr>
            <w:tcW w:w="4995" w:type="dxa"/>
            <w:gridSpan w:val="3"/>
            <w:tcBorders>
              <w:top w:val="single" w:sz="6" w:space="0" w:color="000000"/>
              <w:start w:val="single" w:sz="6" w:space="0" w:color="000000"/>
              <w:bottom w:val="single" w:sz="6" w:space="0" w:color="000000"/>
              <w:end w:val="single" w:sz="6" w:space="0" w:color="000000"/>
            </w:tcBorders>
            <w:shd w:fill="C0C0C0" w:val="clear"/>
            <w:vAlign w:val="center"/>
          </w:tcPr>
          <w:p>
            <w:pPr>
              <w:pStyle w:val="DeltaViewTableHeading"/>
              <w:spacing w:before="0" w:after="120"/>
              <w:rPr/>
            </w:pPr>
            <w:r>
              <w:rPr/>
              <w:t>Statistics:</w:t>
            </w:r>
          </w:p>
        </w:tc>
      </w:tr>
      <w:tr>
        <w:trPr/>
        <w:tc>
          <w:tcPr>
            <w:tcW w:w="2010" w:type="dxa"/>
            <w:tcBorders>
              <w:top w:val="single" w:sz="6" w:space="0" w:color="000000"/>
              <w:start w:val="single" w:sz="6" w:space="0" w:color="000000"/>
              <w:bottom w:val="single" w:sz="6" w:space="0" w:color="000000"/>
              <w:end w:val="single" w:sz="6" w:space="0" w:color="000000"/>
            </w:tcBorders>
            <w:vAlign w:val="center"/>
          </w:tcPr>
          <w:p>
            <w:pPr>
              <w:pStyle w:val="DeltaViewTableBody"/>
              <w:snapToGrid w:val="false"/>
              <w:rPr>
                <w:rFonts w:ascii="Times New Roman" w:hAnsi="Times New Roman" w:cs="Times New Roman"/>
                <w:b/>
                <w:bCs/>
              </w:rPr>
            </w:pPr>
            <w:r>
              <w:rPr>
                <w:rFonts w:cs="Times New Roman" w:ascii="Times New Roman" w:hAnsi="Times New Roman"/>
                <w:b/>
                <w:bCs/>
              </w:rPr>
            </w:r>
          </w:p>
        </w:tc>
        <w:tc>
          <w:tcPr>
            <w:tcW w:w="1463" w:type="dxa"/>
            <w:tcBorders>
              <w:top w:val="single" w:sz="6" w:space="0" w:color="000000"/>
              <w:start w:val="single" w:sz="6" w:space="0" w:color="000000"/>
              <w:bottom w:val="single" w:sz="6" w:space="0" w:color="000000"/>
              <w:end w:val="single" w:sz="6" w:space="0" w:color="000000"/>
            </w:tcBorders>
            <w:vAlign w:val="center"/>
          </w:tcPr>
          <w:p>
            <w:pPr>
              <w:pStyle w:val="DeltaViewTableBody"/>
              <w:rPr/>
            </w:pPr>
            <w:r>
              <w:rPr/>
              <w:t>Count</w:t>
            </w:r>
          </w:p>
        </w:tc>
        <w:tc>
          <w:tcPr>
            <w:tcW w:w="1522" w:type="dxa"/>
            <w:tcBorders>
              <w:top w:val="single" w:sz="6" w:space="0" w:color="000000"/>
              <w:start w:val="single" w:sz="6" w:space="0" w:color="000000"/>
              <w:bottom w:val="single" w:sz="6" w:space="0" w:color="000000"/>
              <w:end w:val="single" w:sz="6" w:space="0" w:color="000000"/>
            </w:tcBorders>
            <w:vAlign w:val="center"/>
          </w:tcPr>
          <w:p>
            <w:pPr>
              <w:pStyle w:val="DeltaViewTableBody"/>
              <w:rPr/>
            </w:pPr>
            <w:r>
              <w:rPr/>
              <w:t>% of content</w:t>
            </w:r>
          </w:p>
        </w:tc>
      </w:tr>
      <w:tr>
        <w:trPr/>
        <w:tc>
          <w:tcPr>
            <w:tcW w:w="2010" w:type="dxa"/>
            <w:tcBorders>
              <w:top w:val="single" w:sz="6" w:space="0" w:color="000000"/>
              <w:start w:val="single" w:sz="6" w:space="0" w:color="000000"/>
              <w:bottom w:val="single" w:sz="6" w:space="0" w:color="000000"/>
              <w:end w:val="single" w:sz="6" w:space="0" w:color="000000"/>
            </w:tcBorders>
            <w:vAlign w:val="center"/>
          </w:tcPr>
          <w:p>
            <w:pPr>
              <w:pStyle w:val="DeltaViewTableBody"/>
              <w:rPr/>
            </w:pPr>
            <w:r>
              <w:rPr/>
              <w:t>Insertions</w:t>
            </w:r>
          </w:p>
        </w:tc>
        <w:tc>
          <w:tcPr>
            <w:tcW w:w="1463" w:type="dxa"/>
            <w:tcBorders>
              <w:top w:val="single" w:sz="6" w:space="0" w:color="000000"/>
              <w:start w:val="single" w:sz="6" w:space="0" w:color="000000"/>
              <w:bottom w:val="single" w:sz="6" w:space="0" w:color="000000"/>
              <w:end w:val="single" w:sz="6" w:space="0" w:color="000000"/>
            </w:tcBorders>
            <w:vAlign w:val="center"/>
          </w:tcPr>
          <w:p>
            <w:pPr>
              <w:pStyle w:val="DeltaViewTableBody"/>
              <w:rPr/>
            </w:pPr>
            <w:bookmarkStart w:id="19" w:name="Stat_Ins"/>
            <w:r>
              <w:rPr/>
              <w:t>30</w:t>
            </w:r>
            <w:bookmarkEnd w:id="19"/>
          </w:p>
        </w:tc>
        <w:tc>
          <w:tcPr>
            <w:tcW w:w="1522" w:type="dxa"/>
            <w:tcBorders>
              <w:top w:val="single" w:sz="6" w:space="0" w:color="000000"/>
              <w:start w:val="single" w:sz="6" w:space="0" w:color="000000"/>
              <w:bottom w:val="single" w:sz="6" w:space="0" w:color="000000"/>
              <w:end w:val="single" w:sz="6" w:space="0" w:color="000000"/>
            </w:tcBorders>
            <w:vAlign w:val="center"/>
          </w:tcPr>
          <w:p>
            <w:pPr>
              <w:pStyle w:val="DeltaViewTableBody"/>
              <w:rPr/>
            </w:pPr>
            <w:bookmarkStart w:id="20" w:name="Stat_InsP"/>
            <w:r>
              <w:rPr/>
              <w:t>3.47</w:t>
            </w:r>
            <w:bookmarkEnd w:id="20"/>
            <w:r>
              <w:rPr/>
              <w:t>%</w:t>
            </w:r>
          </w:p>
        </w:tc>
      </w:tr>
      <w:tr>
        <w:trPr/>
        <w:tc>
          <w:tcPr>
            <w:tcW w:w="2010" w:type="dxa"/>
            <w:tcBorders>
              <w:top w:val="single" w:sz="6" w:space="0" w:color="000000"/>
              <w:start w:val="single" w:sz="6" w:space="0" w:color="000000"/>
              <w:bottom w:val="single" w:sz="6" w:space="0" w:color="000000"/>
              <w:end w:val="single" w:sz="6" w:space="0" w:color="000000"/>
            </w:tcBorders>
            <w:vAlign w:val="center"/>
          </w:tcPr>
          <w:p>
            <w:pPr>
              <w:pStyle w:val="DeltaViewTableBody"/>
              <w:rPr/>
            </w:pPr>
            <w:r>
              <w:rPr/>
              <w:t>Deletions</w:t>
            </w:r>
          </w:p>
        </w:tc>
        <w:tc>
          <w:tcPr>
            <w:tcW w:w="1463" w:type="dxa"/>
            <w:tcBorders>
              <w:top w:val="single" w:sz="6" w:space="0" w:color="000000"/>
              <w:start w:val="single" w:sz="6" w:space="0" w:color="000000"/>
              <w:bottom w:val="single" w:sz="6" w:space="0" w:color="000000"/>
              <w:end w:val="single" w:sz="6" w:space="0" w:color="000000"/>
            </w:tcBorders>
            <w:vAlign w:val="center"/>
          </w:tcPr>
          <w:p>
            <w:pPr>
              <w:pStyle w:val="DeltaViewTableBody"/>
              <w:rPr/>
            </w:pPr>
            <w:bookmarkStart w:id="21" w:name="Stat_Del"/>
            <w:r>
              <w:rPr/>
              <w:t>18</w:t>
            </w:r>
            <w:bookmarkEnd w:id="21"/>
          </w:p>
        </w:tc>
        <w:tc>
          <w:tcPr>
            <w:tcW w:w="1522" w:type="dxa"/>
            <w:tcBorders>
              <w:top w:val="single" w:sz="6" w:space="0" w:color="000000"/>
              <w:start w:val="single" w:sz="6" w:space="0" w:color="000000"/>
              <w:bottom w:val="single" w:sz="6" w:space="0" w:color="000000"/>
              <w:end w:val="single" w:sz="6" w:space="0" w:color="000000"/>
            </w:tcBorders>
            <w:vAlign w:val="center"/>
          </w:tcPr>
          <w:p>
            <w:pPr>
              <w:pStyle w:val="DeltaViewTableBody"/>
              <w:rPr/>
            </w:pPr>
            <w:bookmarkStart w:id="22" w:name="Stat_DelP"/>
            <w:r>
              <w:rPr/>
              <w:t>1.19</w:t>
            </w:r>
            <w:bookmarkEnd w:id="22"/>
            <w:r>
              <w:rPr/>
              <w:t>%</w:t>
            </w:r>
          </w:p>
        </w:tc>
      </w:tr>
      <w:tr>
        <w:trPr/>
        <w:tc>
          <w:tcPr>
            <w:tcW w:w="2010" w:type="dxa"/>
            <w:tcBorders>
              <w:top w:val="single" w:sz="6" w:space="0" w:color="000000"/>
              <w:start w:val="single" w:sz="6" w:space="0" w:color="000000"/>
              <w:bottom w:val="single" w:sz="6" w:space="0" w:color="000000"/>
              <w:end w:val="single" w:sz="6" w:space="0" w:color="000000"/>
            </w:tcBorders>
            <w:vAlign w:val="center"/>
          </w:tcPr>
          <w:p>
            <w:pPr>
              <w:pStyle w:val="DeltaViewTableBody"/>
              <w:rPr/>
            </w:pPr>
            <w:r>
              <w:rPr/>
              <w:t>Moves</w:t>
            </w:r>
          </w:p>
        </w:tc>
        <w:tc>
          <w:tcPr>
            <w:tcW w:w="1463" w:type="dxa"/>
            <w:tcBorders>
              <w:top w:val="single" w:sz="6" w:space="0" w:color="000000"/>
              <w:start w:val="single" w:sz="6" w:space="0" w:color="000000"/>
              <w:bottom w:val="single" w:sz="6" w:space="0" w:color="000000"/>
              <w:end w:val="single" w:sz="6" w:space="0" w:color="000000"/>
            </w:tcBorders>
            <w:vAlign w:val="center"/>
          </w:tcPr>
          <w:p>
            <w:pPr>
              <w:pStyle w:val="DeltaViewTableBody"/>
              <w:rPr/>
            </w:pPr>
            <w:bookmarkStart w:id="23" w:name="Stat_Move"/>
            <w:r>
              <w:rPr/>
              <w:t>9</w:t>
            </w:r>
            <w:bookmarkEnd w:id="23"/>
          </w:p>
        </w:tc>
        <w:tc>
          <w:tcPr>
            <w:tcW w:w="1522" w:type="dxa"/>
            <w:tcBorders>
              <w:top w:val="single" w:sz="6" w:space="0" w:color="000000"/>
              <w:start w:val="single" w:sz="6" w:space="0" w:color="000000"/>
              <w:bottom w:val="single" w:sz="6" w:space="0" w:color="000000"/>
              <w:end w:val="single" w:sz="6" w:space="0" w:color="000000"/>
            </w:tcBorders>
            <w:vAlign w:val="center"/>
          </w:tcPr>
          <w:p>
            <w:pPr>
              <w:pStyle w:val="DeltaViewTableBody"/>
              <w:rPr/>
            </w:pPr>
            <w:bookmarkStart w:id="24" w:name="Stat_MoveP"/>
            <w:r>
              <w:rPr/>
              <w:t>0.60</w:t>
            </w:r>
            <w:bookmarkEnd w:id="24"/>
            <w:r>
              <w:rPr/>
              <w:t>%</w:t>
            </w:r>
          </w:p>
        </w:tc>
      </w:tr>
      <w:tr>
        <w:trPr/>
        <w:tc>
          <w:tcPr>
            <w:tcW w:w="2010" w:type="dxa"/>
            <w:tcBorders>
              <w:top w:val="single" w:sz="6" w:space="0" w:color="000000"/>
              <w:start w:val="single" w:sz="6" w:space="0" w:color="000000"/>
              <w:bottom w:val="single" w:sz="6" w:space="0" w:color="000000"/>
              <w:end w:val="single" w:sz="6" w:space="0" w:color="000000"/>
            </w:tcBorders>
            <w:vAlign w:val="center"/>
          </w:tcPr>
          <w:p>
            <w:pPr>
              <w:pStyle w:val="DeltaViewTableBody"/>
              <w:rPr/>
            </w:pPr>
            <w:r>
              <w:rPr/>
              <w:t>Matched</w:t>
            </w:r>
          </w:p>
        </w:tc>
        <w:tc>
          <w:tcPr>
            <w:tcW w:w="1463" w:type="dxa"/>
            <w:tcBorders>
              <w:top w:val="single" w:sz="6" w:space="0" w:color="000000"/>
              <w:start w:val="single" w:sz="6" w:space="0" w:color="000000"/>
              <w:bottom w:val="single" w:sz="6" w:space="0" w:color="000000"/>
              <w:end w:val="single" w:sz="6" w:space="0" w:color="000000"/>
            </w:tcBorders>
            <w:vAlign w:val="center"/>
          </w:tcPr>
          <w:p>
            <w:pPr>
              <w:pStyle w:val="DeltaViewTableBody"/>
              <w:rPr/>
            </w:pPr>
            <w:bookmarkStart w:id="25" w:name="Stat_Match"/>
            <w:r>
              <w:rPr/>
              <w:t>13</w:t>
            </w:r>
            <w:bookmarkEnd w:id="25"/>
          </w:p>
        </w:tc>
        <w:tc>
          <w:tcPr>
            <w:tcW w:w="1522" w:type="dxa"/>
            <w:tcBorders>
              <w:top w:val="single" w:sz="6" w:space="0" w:color="000000"/>
              <w:start w:val="single" w:sz="6" w:space="0" w:color="000000"/>
              <w:bottom w:val="single" w:sz="6" w:space="0" w:color="000000"/>
              <w:end w:val="single" w:sz="6" w:space="0" w:color="000000"/>
            </w:tcBorders>
            <w:vAlign w:val="center"/>
          </w:tcPr>
          <w:p>
            <w:pPr>
              <w:pStyle w:val="DeltaViewTableBody"/>
              <w:rPr/>
            </w:pPr>
            <w:bookmarkStart w:id="26" w:name="Stat_MatchP"/>
            <w:r>
              <w:rPr/>
              <w:t>94.74</w:t>
            </w:r>
            <w:bookmarkEnd w:id="26"/>
            <w:r>
              <w:rPr/>
              <w:t>%</w:t>
            </w:r>
          </w:p>
        </w:tc>
      </w:tr>
      <w:tr>
        <w:trPr/>
        <w:tc>
          <w:tcPr>
            <w:tcW w:w="2010" w:type="dxa"/>
            <w:tcBorders>
              <w:top w:val="single" w:sz="6" w:space="0" w:color="000000"/>
              <w:start w:val="single" w:sz="6" w:space="0" w:color="000000"/>
              <w:bottom w:val="single" w:sz="6" w:space="0" w:color="000000"/>
              <w:end w:val="single" w:sz="6" w:space="0" w:color="000000"/>
            </w:tcBorders>
            <w:vAlign w:val="center"/>
          </w:tcPr>
          <w:p>
            <w:pPr>
              <w:pStyle w:val="DeltaViewTableBody"/>
              <w:rPr/>
            </w:pPr>
            <w:r>
              <w:rPr/>
              <w:t>Format changed</w:t>
            </w:r>
          </w:p>
        </w:tc>
        <w:tc>
          <w:tcPr>
            <w:tcW w:w="1463" w:type="dxa"/>
            <w:tcBorders>
              <w:top w:val="single" w:sz="6" w:space="0" w:color="000000"/>
              <w:start w:val="single" w:sz="6" w:space="0" w:color="000000"/>
              <w:bottom w:val="single" w:sz="6" w:space="0" w:color="000000"/>
              <w:end w:val="single" w:sz="6" w:space="0" w:color="000000"/>
            </w:tcBorders>
            <w:vAlign w:val="center"/>
          </w:tcPr>
          <w:p>
            <w:pPr>
              <w:pStyle w:val="DeltaViewTableBody"/>
              <w:rPr/>
            </w:pPr>
            <w:bookmarkStart w:id="27" w:name="Stat_Change"/>
            <w:r>
              <w:rPr/>
              <w:t>0</w:t>
            </w:r>
            <w:bookmarkEnd w:id="27"/>
          </w:p>
        </w:tc>
        <w:tc>
          <w:tcPr>
            <w:tcW w:w="1522" w:type="dxa"/>
            <w:tcBorders>
              <w:top w:val="single" w:sz="6" w:space="0" w:color="000000"/>
              <w:start w:val="single" w:sz="6" w:space="0" w:color="000000"/>
              <w:bottom w:val="single" w:sz="6" w:space="0" w:color="000000"/>
              <w:end w:val="single" w:sz="6" w:space="0" w:color="000000"/>
            </w:tcBorders>
            <w:vAlign w:val="center"/>
          </w:tcPr>
          <w:p>
            <w:pPr>
              <w:pStyle w:val="DeltaViewTableBody"/>
              <w:rPr/>
            </w:pPr>
            <w:bookmarkStart w:id="28" w:name="Stat_ChangeP"/>
            <w:r>
              <w:rPr/>
              <w:t>0.00</w:t>
            </w:r>
            <w:bookmarkEnd w:id="28"/>
            <w:r>
              <w:rPr/>
              <w:t>%</w:t>
            </w:r>
          </w:p>
        </w:tc>
      </w:tr>
    </w:tbl>
    <w:p>
      <w:pPr>
        <w:sectPr>
          <w:headerReference w:type="default" r:id="rId2"/>
          <w:footerReference w:type="default" r:id="rId3"/>
          <w:type w:val="nextPage"/>
          <w:pgSz w:w="12240" w:h="15840"/>
          <w:pgMar w:left="1440" w:right="1440" w:gutter="0" w:header="720" w:top="1440" w:footer="720" w:bottom="1440"/>
          <w:pgNumType w:fmt="decimal"/>
          <w:formProt w:val="false"/>
          <w:textDirection w:val="lrTb"/>
          <w:docGrid w:type="default" w:linePitch="360" w:charSpace="0"/>
        </w:sectPr>
      </w:pPr>
    </w:p>
    <w:p>
      <w:pPr>
        <w:pStyle w:val="Heading1"/>
        <w:keepNext w:val="false"/>
        <w:keepLines w:val="false"/>
        <w:ind w:firstLine="540" w:start="6480" w:end="0"/>
        <w:jc w:val="end"/>
        <w:rPr/>
      </w:pPr>
      <w:bookmarkStart w:id="29" w:name="_DV_X0"/>
      <w:bookmarkStart w:id="30" w:name="_DV_M0"/>
      <w:bookmarkEnd w:id="29"/>
      <w:bookmarkEnd w:id="30"/>
      <w:r>
        <w:rPr>
          <w:b w:val="false"/>
          <w:bCs/>
          <w:caps w:val="false"/>
          <w:smallCaps w:val="false"/>
        </w:rPr>
        <w:t>FRESHFIELDS DRAFT 11/</w:t>
      </w:r>
      <w:bookmarkStart w:id="31" w:name="_DV_C1"/>
      <w:r>
        <w:rPr>
          <w:rStyle w:val="DeltaViewDeletion"/>
          <w:b/>
          <w:bCs/>
          <w:caps/>
        </w:rPr>
        <w:t>3</w:t>
      </w:r>
      <w:bookmarkStart w:id="32" w:name="_DV_C2"/>
      <w:bookmarkEnd w:id="31"/>
      <w:r>
        <w:rPr>
          <w:rStyle w:val="DeltaViewInsertion"/>
          <w:b/>
          <w:bCs/>
          <w:caps/>
        </w:rPr>
        <w:t>17</w:t>
      </w:r>
      <w:bookmarkStart w:id="33" w:name="_DV_M1"/>
      <w:bookmarkEnd w:id="32"/>
      <w:bookmarkEnd w:id="33"/>
      <w:r>
        <w:rPr>
          <w:b w:val="false"/>
          <w:bCs/>
          <w:caps w:val="false"/>
          <w:smallCaps w:val="false"/>
          <w:color w:val="000000"/>
        </w:rPr>
        <w:t>/00</w:t>
      </w:r>
    </w:p>
    <w:p>
      <w:pPr>
        <w:pStyle w:val="Normal"/>
        <w:pBdr>
          <w:bottom w:val="double" w:sz="6" w:space="1" w:color="000000"/>
        </w:pBd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rPr>
          <w:b/>
          <w:bCs/>
          <w:caps/>
          <w:color w:val="000000"/>
        </w:rPr>
      </w:pPr>
      <w:r>
        <w:rPr>
          <w:b/>
          <w:bCs/>
          <w:caps/>
          <w:color w:val="000000"/>
        </w:rPr>
      </w:r>
    </w:p>
    <w:p>
      <w:pPr>
        <w:pStyle w:val="Normal"/>
        <w:numPr>
          <w:ilvl w:val="0"/>
          <w:numId w:val="0"/>
        </w:numPr>
        <w:tabs>
          <w:tab w:val="clear" w:pos="720"/>
          <w:tab w:val="center" w:pos="4680" w:leader="none"/>
        </w:tabs>
        <w:suppressAutoHyphens w:val="true"/>
        <w:outlineLvl w:val="0"/>
        <w:rPr>
          <w:color w:val="000000"/>
        </w:rPr>
      </w:pPr>
      <w:bookmarkStart w:id="34" w:name="_DV_M2"/>
      <w:bookmarkEnd w:id="34"/>
      <w:r>
        <w:rPr>
          <w:color w:val="000000"/>
        </w:rPr>
        <w:tab/>
        <w:t>EQUITY CONTRIBUTION AGREEMENT</w:t>
      </w:r>
    </w:p>
    <w:p>
      <w:pPr>
        <w:pStyle w:val="Normal"/>
        <w:numPr>
          <w:ilvl w:val="0"/>
          <w:numId w:val="0"/>
        </w:numPr>
        <w:tabs>
          <w:tab w:val="clear" w:pos="720"/>
          <w:tab w:val="center" w:pos="4680" w:leader="none"/>
        </w:tabs>
        <w:suppressAutoHyphens w:val="true"/>
        <w:jc w:val="center"/>
        <w:outlineLvl w:val="0"/>
        <w:rPr>
          <w:color w:val="000000"/>
        </w:rPr>
      </w:pPr>
      <w:bookmarkStart w:id="35" w:name="_DV_M3"/>
      <w:bookmarkEnd w:id="35"/>
      <w:r>
        <w:rPr>
          <w:color w:val="000000"/>
        </w:rPr>
        <w:t xml:space="preserve">Dated as of  _______, </w:t>
      </w:r>
      <w:bookmarkStart w:id="36" w:name="_DV_C3"/>
      <w:r>
        <w:rPr>
          <w:rStyle w:val="DeltaViewDeletion"/>
        </w:rPr>
        <w:t>2000</w:t>
      </w:r>
      <w:bookmarkStart w:id="37" w:name="_DV_C4"/>
      <w:bookmarkEnd w:id="36"/>
      <w:r>
        <w:rPr>
          <w:rStyle w:val="DeltaViewInsertion"/>
        </w:rPr>
        <w:t>200_</w:t>
      </w:r>
      <w:bookmarkEnd w:id="37"/>
    </w:p>
    <w:p>
      <w:pPr>
        <w:pStyle w:val="Normal"/>
        <w:tabs>
          <w:tab w:val="clear" w:pos="720"/>
          <w:tab w:val="center" w:pos="4680" w:leader="none"/>
        </w:tabs>
        <w:suppressAutoHyphens w:val="true"/>
        <w:jc w:val="center"/>
        <w:rPr>
          <w:color w:val="000000"/>
        </w:rPr>
      </w:pPr>
      <w:bookmarkStart w:id="38" w:name="_DV_M4"/>
      <w:bookmarkEnd w:id="38"/>
      <w:r>
        <w:rPr>
          <w:color w:val="000000"/>
        </w:rPr>
        <w:t>among</w:t>
      </w:r>
    </w:p>
    <w:p>
      <w:pPr>
        <w:pStyle w:val="Normal"/>
        <w:numPr>
          <w:ilvl w:val="0"/>
          <w:numId w:val="0"/>
        </w:numPr>
        <w:tabs>
          <w:tab w:val="clear" w:pos="720"/>
          <w:tab w:val="center" w:pos="4680" w:leader="none"/>
        </w:tabs>
        <w:suppressAutoHyphens w:val="true"/>
        <w:jc w:val="center"/>
        <w:outlineLvl w:val="0"/>
        <w:rPr>
          <w:caps/>
          <w:color w:val="000000"/>
        </w:rPr>
      </w:pPr>
      <w:bookmarkStart w:id="39" w:name="_DV_M5"/>
      <w:bookmarkEnd w:id="39"/>
      <w:r>
        <w:rPr>
          <w:caps/>
          <w:color w:val="000000"/>
        </w:rPr>
        <w:t xml:space="preserve">ENRON DO BRAZIL HOLDINGS LTD., </w:t>
      </w:r>
    </w:p>
    <w:p>
      <w:pPr>
        <w:pStyle w:val="Normal"/>
        <w:tabs>
          <w:tab w:val="clear" w:pos="720"/>
          <w:tab w:val="center" w:pos="4680" w:leader="none"/>
        </w:tabs>
        <w:suppressAutoHyphens w:val="true"/>
        <w:jc w:val="center"/>
        <w:rPr>
          <w:caps/>
          <w:color w:val="000000"/>
        </w:rPr>
      </w:pPr>
      <w:bookmarkStart w:id="40" w:name="_DV_M6"/>
      <w:bookmarkEnd w:id="40"/>
      <w:r>
        <w:rPr>
          <w:caps/>
          <w:color w:val="000000"/>
        </w:rPr>
        <w:t xml:space="preserve">SHELL CUIABÁ HOLDINGS LIMITED, </w:t>
      </w:r>
    </w:p>
    <w:p>
      <w:pPr>
        <w:pStyle w:val="Normal"/>
        <w:tabs>
          <w:tab w:val="clear" w:pos="720"/>
          <w:tab w:val="center" w:pos="4680" w:leader="none"/>
        </w:tabs>
        <w:suppressAutoHyphens w:val="true"/>
        <w:jc w:val="center"/>
        <w:rPr>
          <w:caps/>
          <w:color w:val="000000"/>
        </w:rPr>
      </w:pPr>
      <w:bookmarkStart w:id="41" w:name="_DV_M7"/>
      <w:bookmarkEnd w:id="41"/>
      <w:r>
        <w:rPr>
          <w:caps/>
          <w:color w:val="000000"/>
        </w:rPr>
        <w:t xml:space="preserve">ENRON INTERNATIONAL BOLIVIA HOLDINGS LTD., </w:t>
      </w:r>
    </w:p>
    <w:p>
      <w:pPr>
        <w:pStyle w:val="Normal"/>
        <w:tabs>
          <w:tab w:val="clear" w:pos="720"/>
          <w:tab w:val="center" w:pos="4680" w:leader="none"/>
        </w:tabs>
        <w:suppressAutoHyphens w:val="true"/>
        <w:jc w:val="center"/>
        <w:rPr>
          <w:caps/>
          <w:color w:val="000000"/>
        </w:rPr>
      </w:pPr>
      <w:bookmarkStart w:id="42" w:name="_DV_M8"/>
      <w:bookmarkEnd w:id="42"/>
      <w:r>
        <w:rPr>
          <w:caps/>
          <w:color w:val="000000"/>
        </w:rPr>
        <w:t>ENRON BRAZIL POWER HOLDINGS I LTD.,</w:t>
      </w:r>
    </w:p>
    <w:p>
      <w:pPr>
        <w:pStyle w:val="Normal"/>
        <w:tabs>
          <w:tab w:val="clear" w:pos="720"/>
          <w:tab w:val="center" w:pos="4680" w:leader="none"/>
        </w:tabs>
        <w:suppressAutoHyphens w:val="true"/>
        <w:jc w:val="center"/>
        <w:rPr>
          <w:caps/>
          <w:color w:val="000000"/>
        </w:rPr>
      </w:pPr>
      <w:bookmarkStart w:id="43" w:name="_DV_M9"/>
      <w:bookmarkEnd w:id="43"/>
      <w:r>
        <w:rPr>
          <w:caps/>
          <w:color w:val="000000"/>
        </w:rPr>
        <w:t>SHELL GAS (LATIN AMERICA) B.V.,</w:t>
      </w:r>
    </w:p>
    <w:p>
      <w:pPr>
        <w:pStyle w:val="Normal"/>
        <w:tabs>
          <w:tab w:val="clear" w:pos="720"/>
          <w:tab w:val="center" w:pos="4680" w:leader="none"/>
        </w:tabs>
        <w:suppressAutoHyphens w:val="true"/>
        <w:jc w:val="center"/>
        <w:rPr>
          <w:caps/>
          <w:color w:val="000000"/>
        </w:rPr>
      </w:pPr>
      <w:bookmarkStart w:id="44" w:name="_DV_M10"/>
      <w:bookmarkEnd w:id="44"/>
      <w:r>
        <w:rPr>
          <w:caps/>
          <w:color w:val="000000"/>
        </w:rPr>
        <w:t>SHELL OVERSEAS TRADING LIMITED.,</w:t>
      </w:r>
    </w:p>
    <w:p>
      <w:pPr>
        <w:pStyle w:val="Normal"/>
        <w:tabs>
          <w:tab w:val="clear" w:pos="720"/>
          <w:tab w:val="center" w:pos="4680" w:leader="none"/>
        </w:tabs>
        <w:suppressAutoHyphens w:val="true"/>
        <w:jc w:val="center"/>
        <w:rPr>
          <w:caps/>
          <w:color w:val="000000"/>
          <w:lang w:val="es-ES"/>
        </w:rPr>
      </w:pPr>
      <w:bookmarkStart w:id="45" w:name="_DV_M11"/>
      <w:bookmarkEnd w:id="45"/>
      <w:r>
        <w:rPr>
          <w:caps/>
          <w:color w:val="000000"/>
          <w:lang w:val="es-ES"/>
        </w:rPr>
        <w:t>ENRON CORP.,</w:t>
      </w:r>
    </w:p>
    <w:p>
      <w:pPr>
        <w:pStyle w:val="Normal"/>
        <w:tabs>
          <w:tab w:val="clear" w:pos="720"/>
          <w:tab w:val="center" w:pos="4680" w:leader="none"/>
        </w:tabs>
        <w:suppressAutoHyphens w:val="true"/>
        <w:jc w:val="center"/>
        <w:rPr/>
      </w:pPr>
      <w:bookmarkStart w:id="46" w:name="_DV_M12"/>
      <w:bookmarkEnd w:id="46"/>
      <w:r>
        <w:rPr>
          <w:smallCaps/>
          <w:color w:val="000000"/>
          <w:lang w:val="es-ES"/>
        </w:rPr>
        <w:t>EPE-</w:t>
      </w:r>
      <w:r>
        <w:rPr>
          <w:color w:val="000000"/>
          <w:lang w:val="es-ES"/>
        </w:rPr>
        <w:t xml:space="preserve">EMPRESA PRODUTORA DE ENERGIA LTDA., </w:t>
      </w:r>
    </w:p>
    <w:p>
      <w:pPr>
        <w:pStyle w:val="Normal"/>
        <w:tabs>
          <w:tab w:val="clear" w:pos="720"/>
          <w:tab w:val="center" w:pos="4680" w:leader="none"/>
        </w:tabs>
        <w:suppressAutoHyphens w:val="true"/>
        <w:jc w:val="center"/>
        <w:rPr>
          <w:color w:val="000000"/>
          <w:lang w:val="es-ES"/>
        </w:rPr>
      </w:pPr>
      <w:bookmarkStart w:id="47" w:name="_DV_M13"/>
      <w:bookmarkEnd w:id="47"/>
      <w:r>
        <w:rPr>
          <w:color w:val="000000"/>
          <w:lang w:val="es-ES"/>
        </w:rPr>
        <w:t>GASORIENTE BOLIVIANO LTDA.,</w:t>
      </w:r>
    </w:p>
    <w:p>
      <w:pPr>
        <w:pStyle w:val="Normal"/>
        <w:tabs>
          <w:tab w:val="clear" w:pos="720"/>
          <w:tab w:val="center" w:pos="4680" w:leader="none"/>
        </w:tabs>
        <w:suppressAutoHyphens w:val="true"/>
        <w:jc w:val="center"/>
        <w:rPr>
          <w:b/>
          <w:bCs/>
          <w:color w:val="000000"/>
        </w:rPr>
      </w:pPr>
      <w:bookmarkStart w:id="48" w:name="_DV_M14"/>
      <w:bookmarkEnd w:id="48"/>
      <w:r>
        <w:rPr>
          <w:color w:val="000000"/>
        </w:rPr>
        <w:t>GASOCIDENTE DO MATO GROSSO LTDA.,</w:t>
      </w:r>
    </w:p>
    <w:p>
      <w:pPr>
        <w:pStyle w:val="Normal"/>
        <w:tabs>
          <w:tab w:val="clear" w:pos="720"/>
          <w:tab w:val="center" w:pos="4680" w:leader="none"/>
        </w:tabs>
        <w:suppressAutoHyphens w:val="true"/>
        <w:jc w:val="center"/>
        <w:rPr>
          <w:color w:val="000000"/>
        </w:rPr>
      </w:pPr>
      <w:bookmarkStart w:id="49" w:name="_DV_M15"/>
      <w:bookmarkEnd w:id="49"/>
      <w:r>
        <w:rPr>
          <w:color w:val="000000"/>
        </w:rPr>
        <w:t>EPE HOLDINGS LTD.,</w:t>
      </w:r>
    </w:p>
    <w:p>
      <w:pPr>
        <w:pStyle w:val="Normal"/>
        <w:tabs>
          <w:tab w:val="clear" w:pos="720"/>
          <w:tab w:val="center" w:pos="4680" w:leader="none"/>
        </w:tabs>
        <w:suppressAutoHyphens w:val="true"/>
        <w:jc w:val="center"/>
        <w:rPr>
          <w:color w:val="000000"/>
        </w:rPr>
      </w:pPr>
      <w:bookmarkStart w:id="50" w:name="_DV_M16"/>
      <w:bookmarkEnd w:id="50"/>
      <w:r>
        <w:rPr>
          <w:color w:val="000000"/>
        </w:rPr>
        <w:t>EPE INVESTMENTS LTD.,</w:t>
      </w:r>
    </w:p>
    <w:p>
      <w:pPr>
        <w:pStyle w:val="Normal"/>
        <w:tabs>
          <w:tab w:val="clear" w:pos="720"/>
          <w:tab w:val="center" w:pos="4680" w:leader="none"/>
        </w:tabs>
        <w:suppressAutoHyphens w:val="true"/>
        <w:jc w:val="center"/>
        <w:rPr>
          <w:color w:val="000000"/>
        </w:rPr>
      </w:pPr>
      <w:bookmarkStart w:id="51" w:name="_DV_M17"/>
      <w:bookmarkEnd w:id="51"/>
      <w:r>
        <w:rPr>
          <w:color w:val="000000"/>
        </w:rPr>
        <w:t>GASMAT HOLDINGS LTD.,</w:t>
      </w:r>
    </w:p>
    <w:p>
      <w:pPr>
        <w:pStyle w:val="Normal"/>
        <w:tabs>
          <w:tab w:val="clear" w:pos="720"/>
          <w:tab w:val="center" w:pos="4680" w:leader="none"/>
        </w:tabs>
        <w:suppressAutoHyphens w:val="true"/>
        <w:jc w:val="center"/>
        <w:rPr>
          <w:color w:val="000000"/>
        </w:rPr>
      </w:pPr>
      <w:bookmarkStart w:id="52" w:name="_DV_M18"/>
      <w:bookmarkEnd w:id="52"/>
      <w:r>
        <w:rPr>
          <w:color w:val="000000"/>
        </w:rPr>
        <w:t>GASMAT INVESTMENTS LTD.,</w:t>
      </w:r>
    </w:p>
    <w:p>
      <w:pPr>
        <w:pStyle w:val="Normal"/>
        <w:tabs>
          <w:tab w:val="clear" w:pos="720"/>
          <w:tab w:val="center" w:pos="4680" w:leader="none"/>
        </w:tabs>
        <w:suppressAutoHyphens w:val="true"/>
        <w:jc w:val="center"/>
        <w:rPr>
          <w:color w:val="000000"/>
        </w:rPr>
      </w:pPr>
      <w:bookmarkStart w:id="53" w:name="_DV_M19"/>
      <w:bookmarkEnd w:id="53"/>
      <w:r>
        <w:rPr>
          <w:color w:val="000000"/>
        </w:rPr>
        <w:t>and</w:t>
      </w:r>
    </w:p>
    <w:p>
      <w:pPr>
        <w:pStyle w:val="Normal"/>
        <w:tabs>
          <w:tab w:val="clear" w:pos="720"/>
          <w:tab w:val="center" w:pos="4680" w:leader="none"/>
        </w:tabs>
        <w:suppressAutoHyphens w:val="true"/>
        <w:jc w:val="center"/>
        <w:rPr>
          <w:color w:val="000000"/>
        </w:rPr>
      </w:pPr>
      <w:bookmarkStart w:id="54" w:name="_DV_M20"/>
      <w:bookmarkEnd w:id="54"/>
      <w:r>
        <w:rPr>
          <w:color w:val="000000"/>
        </w:rPr>
        <w:t>CITIBANK, N.A.,</w:t>
      </w:r>
    </w:p>
    <w:p>
      <w:pPr>
        <w:pStyle w:val="Normal"/>
        <w:tabs>
          <w:tab w:val="clear" w:pos="720"/>
          <w:tab w:val="center" w:pos="4680" w:leader="none"/>
        </w:tabs>
        <w:suppressAutoHyphens w:val="true"/>
        <w:jc w:val="center"/>
        <w:rPr>
          <w:color w:val="000000"/>
          <w:lang w:val="fr-FR"/>
        </w:rPr>
      </w:pPr>
      <w:bookmarkStart w:id="55" w:name="_DV_M21"/>
      <w:bookmarkEnd w:id="55"/>
      <w:r>
        <w:rPr>
          <w:color w:val="000000"/>
          <w:lang w:val="fr-FR"/>
        </w:rPr>
        <w:t>as Common Agent</w:t>
      </w:r>
    </w:p>
    <w:p>
      <w:pPr>
        <w:sectPr>
          <w:headerReference w:type="default" r:id="rId4"/>
          <w:headerReference w:type="first" r:id="rId5"/>
          <w:footerReference w:type="default" r:id="rId6"/>
          <w:footerReference w:type="first" r:id="rId7"/>
          <w:type w:val="nextPage"/>
          <w:pgSz w:w="12240" w:h="15840"/>
          <w:pgMar w:left="1440" w:right="1440" w:gutter="0" w:header="720" w:top="1440" w:footer="720" w:bottom="1440"/>
          <w:pgNumType w:fmt="decimal"/>
          <w:formProt w:val="false"/>
          <w:textDirection w:val="lrTb"/>
          <w:docGrid w:type="default" w:linePitch="360" w:charSpace="0"/>
        </w:sectPr>
        <w:pStyle w:val="Normal"/>
        <w:pBdr>
          <w:bottom w:val="double" w:sz="6" w:space="1" w:color="000000"/>
        </w:pBdr>
        <w:tabs>
          <w:tab w:val="clear" w:pos="720"/>
          <w:tab w:val="center" w:pos="4680" w:leader="none"/>
        </w:tabs>
        <w:suppressAutoHyphens w:val="true"/>
        <w:jc w:val="center"/>
        <w:rPr>
          <w:color w:val="000000"/>
          <w:lang w:val="fr-FR"/>
        </w:rPr>
      </w:pPr>
      <w:r>
        <w:rPr>
          <w:color w:val="000000"/>
          <w:lang w:val="fr-FR"/>
        </w:rPr>
      </w:r>
    </w:p>
    <w:p>
      <w:pPr>
        <w:pStyle w:val="IndexHeading"/>
        <w:keepNext w:val="true"/>
        <w:keepLines/>
        <w:numPr>
          <w:ilvl w:val="0"/>
          <w:numId w:val="0"/>
        </w:numPr>
        <w:outlineLvl w:val="0"/>
        <w:rPr>
          <w:color w:val="000000"/>
          <w:lang w:val="fr-FR"/>
        </w:rPr>
      </w:pPr>
      <w:bookmarkStart w:id="56" w:name="_DV_M22"/>
      <w:bookmarkEnd w:id="56"/>
      <w:r>
        <w:rPr>
          <w:color w:val="000000"/>
          <w:lang w:val="fr-FR"/>
        </w:rPr>
        <w:t>CONTENTS</w:t>
      </w:r>
    </w:p>
    <w:p>
      <w:pPr>
        <w:pStyle w:val="indexhead2"/>
        <w:rPr>
          <w:color w:val="000000"/>
          <w:lang w:val="fr-FR"/>
        </w:rPr>
      </w:pPr>
      <w:bookmarkStart w:id="57" w:name="_DV_M23"/>
      <w:bookmarkEnd w:id="57"/>
      <w:r>
        <w:rPr>
          <w:color w:val="000000"/>
          <w:lang w:val="fr-FR"/>
        </w:rPr>
        <w:t>Clause</w:t>
        <w:tab/>
        <w:t>Page</w:t>
      </w:r>
    </w:p>
    <w:p>
      <w:pPr>
        <w:pStyle w:val="TOC2"/>
        <w:numPr>
          <w:ilvl w:val="0"/>
          <w:numId w:val="14"/>
        </w:numPr>
        <w:ind w:hanging="0" w:start="0"/>
        <w:rPr>
          <w:rFonts w:eastAsia="Times New Roman"/>
          <w:caps w:val="false"/>
          <w:smallCaps w:val="false"/>
          <w:color w:val="000000"/>
          <w:lang w:val="en-CA" w:eastAsia="en-CA"/>
        </w:rPr>
      </w:pPr>
      <w:bookmarkStart w:id="58" w:name="_DV_M24"/>
      <w:bookmarkEnd w:id="58"/>
      <w:r>
        <w:rPr>
          <w:color w:val="000000"/>
          <w:lang w:val="en-CA" w:eastAsia="en-CA"/>
        </w:rPr>
        <w:t>ARTICLE 1.  Definitions; Interpretation</w:t>
        <w:tab/>
      </w:r>
      <w:r>
        <w:rPr>
          <w:lang w:val="en-CA" w:eastAsia="en-CA"/>
        </w:rPr>
        <w:fldChar w:fldCharType="begin"/>
      </w:r>
      <w:r>
        <w:rPr>
          <w:lang w:val="en-CA" w:eastAsia="en-CA"/>
        </w:rPr>
        <w:instrText xml:space="preserve"> PAGEREF __RefHeading___Toc490591554 \h </w:instrText>
      </w:r>
      <w:r>
        <w:rPr>
          <w:lang w:val="en-CA" w:eastAsia="en-CA"/>
        </w:rPr>
        <w:fldChar w:fldCharType="separate"/>
      </w:r>
      <w:r>
        <w:rPr>
          <w:lang w:val="en-CA" w:eastAsia="en-CA"/>
        </w:rPr>
        <w:t>2</w:t>
      </w:r>
      <w:r>
        <w:rPr>
          <w:lang w:val="en-CA" w:eastAsia="en-CA"/>
        </w:rPr>
        <w:fldChar w:fldCharType="end"/>
      </w:r>
    </w:p>
    <w:p>
      <w:pPr>
        <w:pStyle w:val="TOC3"/>
        <w:tabs>
          <w:tab w:val="left" w:pos="1440" w:leader="none"/>
          <w:tab w:val="right" w:pos="8309" w:leader="dot"/>
        </w:tabs>
        <w:rPr>
          <w:rFonts w:eastAsia="Times New Roman"/>
          <w:color w:val="000000"/>
          <w:lang w:val="en-CA" w:eastAsia="en-CA"/>
        </w:rPr>
      </w:pPr>
      <w:bookmarkStart w:id="59" w:name="_DV_M25"/>
      <w:bookmarkEnd w:id="59"/>
      <w:r>
        <w:rPr>
          <w:color w:val="000000"/>
          <w:lang w:val="en-CA" w:eastAsia="en-CA"/>
        </w:rPr>
        <w:t>1.1</w:t>
      </w:r>
      <w:r>
        <w:rPr>
          <w:rFonts w:eastAsia="Times New Roman"/>
          <w:color w:val="000000"/>
          <w:lang w:val="en-CA" w:eastAsia="en-CA"/>
        </w:rPr>
        <w:tab/>
      </w:r>
      <w:r>
        <w:rPr>
          <w:color w:val="000000"/>
          <w:lang w:val="en-CA" w:eastAsia="en-CA"/>
        </w:rPr>
        <w:t>Definitions.</w:t>
        <w:tab/>
      </w:r>
      <w:r>
        <w:rPr>
          <w:lang w:val="en-CA" w:eastAsia="en-CA"/>
        </w:rPr>
        <w:fldChar w:fldCharType="begin"/>
      </w:r>
      <w:r>
        <w:rPr>
          <w:lang w:val="en-CA" w:eastAsia="en-CA"/>
        </w:rPr>
        <w:instrText xml:space="preserve"> PAGEREF __RefHeading___Toc490591555 \h </w:instrText>
      </w:r>
      <w:r>
        <w:rPr>
          <w:lang w:val="en-CA" w:eastAsia="en-CA"/>
        </w:rPr>
        <w:fldChar w:fldCharType="separate"/>
      </w:r>
      <w:r>
        <w:rPr>
          <w:lang w:val="en-CA" w:eastAsia="en-CA"/>
        </w:rPr>
        <w:t>2</w:t>
      </w:r>
      <w:r>
        <w:rPr>
          <w:lang w:val="en-CA" w:eastAsia="en-CA"/>
        </w:rPr>
        <w:fldChar w:fldCharType="end"/>
      </w:r>
    </w:p>
    <w:p>
      <w:pPr>
        <w:pStyle w:val="TOC3"/>
        <w:tabs>
          <w:tab w:val="left" w:pos="1440" w:leader="none"/>
          <w:tab w:val="right" w:pos="8309" w:leader="dot"/>
        </w:tabs>
        <w:rPr>
          <w:rFonts w:eastAsia="Times New Roman"/>
          <w:color w:val="000000"/>
          <w:lang w:val="en-CA" w:eastAsia="en-CA"/>
        </w:rPr>
      </w:pPr>
      <w:bookmarkStart w:id="60" w:name="_DV_M26"/>
      <w:bookmarkEnd w:id="60"/>
      <w:r>
        <w:rPr>
          <w:color w:val="000000"/>
          <w:lang w:val="en-CA" w:eastAsia="en-CA"/>
        </w:rPr>
        <w:t>1.2</w:t>
      </w:r>
      <w:r>
        <w:rPr>
          <w:rFonts w:eastAsia="Times New Roman"/>
          <w:color w:val="000000"/>
          <w:lang w:val="en-CA" w:eastAsia="en-CA"/>
        </w:rPr>
        <w:tab/>
      </w:r>
      <w:r>
        <w:rPr>
          <w:color w:val="000000"/>
          <w:lang w:val="en-CA" w:eastAsia="en-CA"/>
        </w:rPr>
        <w:t>Interpretation.</w:t>
        <w:tab/>
      </w:r>
      <w:r>
        <w:rPr>
          <w:lang w:val="en-CA" w:eastAsia="en-CA"/>
        </w:rPr>
        <w:fldChar w:fldCharType="begin"/>
      </w:r>
      <w:r>
        <w:rPr>
          <w:lang w:val="en-CA" w:eastAsia="en-CA"/>
        </w:rPr>
        <w:instrText xml:space="preserve"> PAGEREF __RefHeading___Toc490591556 \h </w:instrText>
      </w:r>
      <w:r>
        <w:rPr>
          <w:lang w:val="en-CA" w:eastAsia="en-CA"/>
        </w:rPr>
        <w:fldChar w:fldCharType="separate"/>
      </w:r>
      <w:r>
        <w:rPr>
          <w:lang w:val="en-CA" w:eastAsia="en-CA"/>
        </w:rPr>
        <w:t>8</w:t>
      </w:r>
      <w:r>
        <w:rPr>
          <w:lang w:val="en-CA" w:eastAsia="en-CA"/>
        </w:rPr>
        <w:fldChar w:fldCharType="end"/>
      </w:r>
    </w:p>
    <w:p>
      <w:pPr>
        <w:pStyle w:val="TOC2"/>
        <w:numPr>
          <w:ilvl w:val="0"/>
          <w:numId w:val="0"/>
        </w:numPr>
        <w:ind w:hanging="0" w:start="0"/>
        <w:rPr>
          <w:rFonts w:eastAsia="Times New Roman"/>
          <w:caps w:val="false"/>
          <w:smallCaps w:val="false"/>
          <w:color w:val="000000"/>
          <w:lang w:val="en-CA" w:eastAsia="en-CA"/>
        </w:rPr>
      </w:pPr>
      <w:r>
        <w:rPr>
          <w:rFonts w:eastAsia="Times New Roman"/>
          <w:caps w:val="false"/>
          <w:smallCaps w:val="false"/>
          <w:color w:val="000000"/>
          <w:lang w:val="en-CA" w:eastAsia="en-CA"/>
        </w:rPr>
      </w:r>
    </w:p>
    <w:p>
      <w:pPr>
        <w:pStyle w:val="TOC2"/>
        <w:numPr>
          <w:ilvl w:val="0"/>
          <w:numId w:val="14"/>
        </w:numPr>
        <w:ind w:hanging="0" w:start="0"/>
        <w:rPr>
          <w:rFonts w:eastAsia="Times New Roman"/>
          <w:caps w:val="false"/>
          <w:smallCaps w:val="false"/>
          <w:color w:val="000000"/>
          <w:lang w:val="en-CA" w:eastAsia="en-CA"/>
        </w:rPr>
      </w:pPr>
      <w:bookmarkStart w:id="61" w:name="_DV_M27"/>
      <w:bookmarkEnd w:id="61"/>
      <w:r>
        <w:rPr>
          <w:color w:val="000000"/>
          <w:lang w:val="en-CA" w:eastAsia="en-CA"/>
        </w:rPr>
        <w:t>ARTICLE 2.  Equity Contributions; Project Completion</w:t>
        <w:tab/>
      </w:r>
      <w:r>
        <w:rPr>
          <w:lang w:val="en-CA" w:eastAsia="en-CA"/>
        </w:rPr>
        <w:fldChar w:fldCharType="begin"/>
      </w:r>
      <w:r>
        <w:rPr>
          <w:lang w:val="en-CA" w:eastAsia="en-CA"/>
        </w:rPr>
        <w:instrText xml:space="preserve"> PAGEREF __RefHeading___Toc490591557 \h </w:instrText>
      </w:r>
      <w:r>
        <w:rPr>
          <w:lang w:val="en-CA" w:eastAsia="en-CA"/>
        </w:rPr>
        <w:fldChar w:fldCharType="separate"/>
      </w:r>
      <w:r>
        <w:rPr>
          <w:lang w:val="en-CA" w:eastAsia="en-CA"/>
        </w:rPr>
        <w:t>9</w:t>
      </w:r>
      <w:r>
        <w:rPr>
          <w:lang w:val="en-CA" w:eastAsia="en-CA"/>
        </w:rPr>
        <w:fldChar w:fldCharType="end"/>
      </w:r>
    </w:p>
    <w:p>
      <w:pPr>
        <w:pStyle w:val="TOC3"/>
        <w:tabs>
          <w:tab w:val="left" w:pos="1440" w:leader="none"/>
          <w:tab w:val="right" w:pos="8309" w:leader="dot"/>
        </w:tabs>
        <w:rPr>
          <w:color w:val="000000"/>
          <w:lang w:val="en-CA" w:eastAsia="en-CA"/>
        </w:rPr>
      </w:pPr>
      <w:bookmarkStart w:id="62" w:name="_DV_M28"/>
      <w:bookmarkEnd w:id="62"/>
      <w:r>
        <w:rPr>
          <w:color w:val="000000"/>
          <w:lang w:val="en-CA" w:eastAsia="en-CA"/>
        </w:rPr>
        <w:t>2.1</w:t>
      </w:r>
      <w:r>
        <w:rPr>
          <w:rFonts w:eastAsia="Times New Roman"/>
          <w:color w:val="000000"/>
          <w:lang w:val="en-CA" w:eastAsia="en-CA"/>
        </w:rPr>
        <w:tab/>
      </w:r>
      <w:r>
        <w:rPr>
          <w:color w:val="000000"/>
          <w:lang w:val="en-CA" w:eastAsia="en-CA"/>
        </w:rPr>
        <w:t>Undertaking to Make Equity Contributions.</w:t>
        <w:tab/>
      </w:r>
      <w:r>
        <w:rPr>
          <w:lang w:val="en-CA" w:eastAsia="en-CA"/>
        </w:rPr>
        <w:fldChar w:fldCharType="begin"/>
      </w:r>
      <w:r>
        <w:rPr>
          <w:lang w:val="en-CA" w:eastAsia="en-CA"/>
        </w:rPr>
        <w:instrText xml:space="preserve"> PAGEREF __RefHeading___Toc490591558 \h </w:instrText>
      </w:r>
      <w:r>
        <w:rPr>
          <w:lang w:val="en-CA" w:eastAsia="en-CA"/>
        </w:rPr>
        <w:fldChar w:fldCharType="separate"/>
      </w:r>
      <w:r>
        <w:rPr>
          <w:lang w:val="en-CA" w:eastAsia="en-CA"/>
        </w:rPr>
        <w:t>9</w:t>
      </w:r>
      <w:r>
        <w:rPr>
          <w:lang w:val="en-CA" w:eastAsia="en-CA"/>
        </w:rPr>
        <w:fldChar w:fldCharType="end"/>
      </w:r>
    </w:p>
    <w:p>
      <w:pPr>
        <w:pStyle w:val="BodyText"/>
        <w:rPr>
          <w:color w:val="000000"/>
          <w:lang w:val="en-CA" w:eastAsia="en-CA"/>
        </w:rPr>
      </w:pPr>
      <w:r>
        <w:rPr>
          <w:color w:val="000000"/>
          <w:lang w:val="en-CA" w:eastAsia="en-CA"/>
        </w:rPr>
      </w:r>
    </w:p>
    <w:p>
      <w:pPr>
        <w:pStyle w:val="TOC2"/>
        <w:numPr>
          <w:ilvl w:val="0"/>
          <w:numId w:val="14"/>
        </w:numPr>
        <w:ind w:hanging="0" w:start="0"/>
        <w:rPr>
          <w:rFonts w:eastAsia="Times New Roman"/>
          <w:caps w:val="false"/>
          <w:smallCaps w:val="false"/>
          <w:color w:val="000000"/>
          <w:lang w:val="en-CA" w:eastAsia="en-CA"/>
        </w:rPr>
      </w:pPr>
      <w:bookmarkStart w:id="63" w:name="_DV_M29"/>
      <w:bookmarkEnd w:id="63"/>
      <w:r>
        <w:rPr>
          <w:color w:val="000000"/>
          <w:lang w:val="en-CA" w:eastAsia="en-CA"/>
        </w:rPr>
        <w:t>ARTICLE 3.  Obligations Absolute, Etc.</w:t>
        <w:tab/>
      </w:r>
      <w:r>
        <w:rPr>
          <w:lang w:val="en-CA" w:eastAsia="en-CA"/>
        </w:rPr>
        <w:fldChar w:fldCharType="begin"/>
      </w:r>
      <w:r>
        <w:rPr>
          <w:lang w:val="en-CA" w:eastAsia="en-CA"/>
        </w:rPr>
        <w:instrText xml:space="preserve"> PAGEREF __RefHeading___Toc490591559 \h </w:instrText>
      </w:r>
      <w:r>
        <w:rPr>
          <w:lang w:val="en-CA" w:eastAsia="en-CA"/>
        </w:rPr>
        <w:fldChar w:fldCharType="separate"/>
      </w:r>
      <w:r>
        <w:rPr>
          <w:lang w:val="en-CA" w:eastAsia="en-CA"/>
        </w:rPr>
        <w:t>17</w:t>
      </w:r>
      <w:r>
        <w:rPr>
          <w:lang w:val="en-CA" w:eastAsia="en-CA"/>
        </w:rPr>
        <w:fldChar w:fldCharType="end"/>
      </w:r>
    </w:p>
    <w:p>
      <w:pPr>
        <w:pStyle w:val="TOC3"/>
        <w:tabs>
          <w:tab w:val="left" w:pos="1440" w:leader="none"/>
          <w:tab w:val="right" w:pos="8309" w:leader="dot"/>
        </w:tabs>
        <w:rPr>
          <w:color w:val="000000"/>
          <w:lang w:val="en-CA" w:eastAsia="en-CA"/>
        </w:rPr>
      </w:pPr>
      <w:bookmarkStart w:id="64" w:name="_DV_M30"/>
      <w:bookmarkEnd w:id="64"/>
      <w:r>
        <w:rPr>
          <w:color w:val="000000"/>
          <w:lang w:val="en-CA" w:eastAsia="en-CA"/>
        </w:rPr>
        <w:t>3.1</w:t>
      </w:r>
      <w:r>
        <w:rPr>
          <w:rFonts w:eastAsia="Times New Roman"/>
          <w:color w:val="000000"/>
          <w:lang w:val="en-CA" w:eastAsia="en-CA"/>
        </w:rPr>
        <w:tab/>
      </w:r>
      <w:r>
        <w:rPr>
          <w:color w:val="000000"/>
          <w:lang w:val="en-CA" w:eastAsia="en-CA"/>
        </w:rPr>
        <w:t>Obligations of the Shareholders.</w:t>
        <w:tab/>
      </w:r>
      <w:r>
        <w:rPr>
          <w:lang w:val="en-CA" w:eastAsia="en-CA"/>
        </w:rPr>
        <w:fldChar w:fldCharType="begin"/>
      </w:r>
      <w:r>
        <w:rPr>
          <w:lang w:val="en-CA" w:eastAsia="en-CA"/>
        </w:rPr>
        <w:instrText xml:space="preserve"> PAGEREF __RefHeading___Toc490591560 \h </w:instrText>
      </w:r>
      <w:r>
        <w:rPr>
          <w:lang w:val="en-CA" w:eastAsia="en-CA"/>
        </w:rPr>
        <w:fldChar w:fldCharType="separate"/>
      </w:r>
      <w:r>
        <w:rPr>
          <w:lang w:val="en-CA" w:eastAsia="en-CA"/>
        </w:rPr>
        <w:t>17</w:t>
      </w:r>
      <w:r>
        <w:rPr>
          <w:lang w:val="en-CA" w:eastAsia="en-CA"/>
        </w:rPr>
        <w:fldChar w:fldCharType="end"/>
      </w:r>
    </w:p>
    <w:p>
      <w:pPr>
        <w:pStyle w:val="BodyText"/>
        <w:rPr>
          <w:color w:val="000000"/>
          <w:lang w:val="en-CA" w:eastAsia="en-CA"/>
        </w:rPr>
      </w:pPr>
      <w:r>
        <w:rPr>
          <w:color w:val="000000"/>
          <w:lang w:val="en-CA" w:eastAsia="en-CA"/>
        </w:rPr>
      </w:r>
    </w:p>
    <w:p>
      <w:pPr>
        <w:pStyle w:val="TOC2"/>
        <w:numPr>
          <w:ilvl w:val="0"/>
          <w:numId w:val="14"/>
        </w:numPr>
        <w:ind w:hanging="0" w:start="0"/>
        <w:rPr>
          <w:rFonts w:eastAsia="Times New Roman"/>
          <w:caps w:val="false"/>
          <w:smallCaps w:val="false"/>
          <w:color w:val="000000"/>
          <w:lang w:val="en-CA" w:eastAsia="en-CA"/>
        </w:rPr>
      </w:pPr>
      <w:bookmarkStart w:id="65" w:name="_DV_M31"/>
      <w:bookmarkEnd w:id="65"/>
      <w:r>
        <w:rPr>
          <w:color w:val="000000"/>
          <w:lang w:val="en-CA" w:eastAsia="en-CA"/>
        </w:rPr>
        <w:t>ARTICLE 4.  The Guarantee</w:t>
        <w:tab/>
      </w:r>
      <w:r>
        <w:rPr>
          <w:lang w:val="en-CA" w:eastAsia="en-CA"/>
        </w:rPr>
        <w:fldChar w:fldCharType="begin"/>
      </w:r>
      <w:r>
        <w:rPr>
          <w:lang w:val="en-CA" w:eastAsia="en-CA"/>
        </w:rPr>
        <w:instrText xml:space="preserve"> PAGEREF __RefHeading___Toc490591561 \h </w:instrText>
      </w:r>
      <w:r>
        <w:rPr>
          <w:lang w:val="en-CA" w:eastAsia="en-CA"/>
        </w:rPr>
        <w:fldChar w:fldCharType="separate"/>
      </w:r>
      <w:r>
        <w:rPr>
          <w:lang w:val="en-CA" w:eastAsia="en-CA"/>
        </w:rPr>
        <w:t>20</w:t>
      </w:r>
      <w:r>
        <w:rPr>
          <w:lang w:val="en-CA" w:eastAsia="en-CA"/>
        </w:rPr>
        <w:fldChar w:fldCharType="end"/>
      </w:r>
    </w:p>
    <w:p>
      <w:pPr>
        <w:pStyle w:val="TOC3"/>
        <w:tabs>
          <w:tab w:val="left" w:pos="1440" w:leader="none"/>
          <w:tab w:val="right" w:pos="8309" w:leader="dot"/>
        </w:tabs>
        <w:rPr>
          <w:rFonts w:eastAsia="Times New Roman"/>
          <w:color w:val="000000"/>
          <w:lang w:val="en-CA" w:eastAsia="en-CA"/>
        </w:rPr>
      </w:pPr>
      <w:bookmarkStart w:id="66" w:name="_DV_M32"/>
      <w:bookmarkEnd w:id="66"/>
      <w:r>
        <w:rPr>
          <w:color w:val="000000"/>
          <w:lang w:val="en-CA" w:eastAsia="en-CA"/>
        </w:rPr>
        <w:t>4.1</w:t>
      </w:r>
      <w:r>
        <w:rPr>
          <w:rFonts w:eastAsia="Times New Roman"/>
          <w:color w:val="000000"/>
          <w:lang w:val="en-CA" w:eastAsia="en-CA"/>
        </w:rPr>
        <w:tab/>
      </w:r>
      <w:r>
        <w:rPr>
          <w:color w:val="000000"/>
          <w:lang w:val="en-CA" w:eastAsia="en-CA"/>
        </w:rPr>
        <w:t>Guarantee.</w:t>
        <w:tab/>
      </w:r>
      <w:r>
        <w:rPr>
          <w:lang w:val="en-CA" w:eastAsia="en-CA"/>
        </w:rPr>
        <w:fldChar w:fldCharType="begin"/>
      </w:r>
      <w:r>
        <w:rPr>
          <w:lang w:val="en-CA" w:eastAsia="en-CA"/>
        </w:rPr>
        <w:instrText xml:space="preserve"> PAGEREF __RefHeading___Toc490591562 \h </w:instrText>
      </w:r>
      <w:r>
        <w:rPr>
          <w:lang w:val="en-CA" w:eastAsia="en-CA"/>
        </w:rPr>
        <w:fldChar w:fldCharType="separate"/>
      </w:r>
      <w:r>
        <w:rPr>
          <w:lang w:val="en-CA" w:eastAsia="en-CA"/>
        </w:rPr>
        <w:t>20</w:t>
      </w:r>
      <w:r>
        <w:rPr>
          <w:lang w:val="en-CA" w:eastAsia="en-CA"/>
        </w:rPr>
        <w:fldChar w:fldCharType="end"/>
      </w:r>
    </w:p>
    <w:p>
      <w:pPr>
        <w:pStyle w:val="TOC3"/>
        <w:tabs>
          <w:tab w:val="left" w:pos="1440" w:leader="none"/>
          <w:tab w:val="right" w:pos="8309" w:leader="dot"/>
        </w:tabs>
        <w:rPr>
          <w:rFonts w:eastAsia="Times New Roman"/>
          <w:color w:val="000000"/>
          <w:lang w:val="en-CA" w:eastAsia="en-CA"/>
        </w:rPr>
      </w:pPr>
      <w:bookmarkStart w:id="67" w:name="_DV_M33"/>
      <w:bookmarkEnd w:id="67"/>
      <w:r>
        <w:rPr>
          <w:color w:val="000000"/>
          <w:lang w:val="en-CA" w:eastAsia="en-CA"/>
        </w:rPr>
        <w:t>4.2</w:t>
      </w:r>
      <w:r>
        <w:rPr>
          <w:rFonts w:eastAsia="Times New Roman"/>
          <w:color w:val="000000"/>
          <w:lang w:val="en-CA" w:eastAsia="en-CA"/>
        </w:rPr>
        <w:tab/>
      </w:r>
      <w:r>
        <w:rPr>
          <w:color w:val="000000"/>
          <w:lang w:val="en-CA" w:eastAsia="en-CA"/>
        </w:rPr>
        <w:t>Obligations Absolute and Unconditional.</w:t>
        <w:tab/>
      </w:r>
      <w:r>
        <w:rPr>
          <w:lang w:val="en-CA" w:eastAsia="en-CA"/>
        </w:rPr>
        <w:fldChar w:fldCharType="begin"/>
      </w:r>
      <w:r>
        <w:rPr>
          <w:lang w:val="en-CA" w:eastAsia="en-CA"/>
        </w:rPr>
        <w:instrText xml:space="preserve"> PAGEREF __RefHeading___Toc490591563 \h </w:instrText>
      </w:r>
      <w:r>
        <w:rPr>
          <w:lang w:val="en-CA" w:eastAsia="en-CA"/>
        </w:rPr>
        <w:fldChar w:fldCharType="separate"/>
      </w:r>
      <w:r>
        <w:rPr>
          <w:lang w:val="en-CA" w:eastAsia="en-CA"/>
        </w:rPr>
        <w:t>21</w:t>
      </w:r>
      <w:r>
        <w:rPr>
          <w:lang w:val="en-CA" w:eastAsia="en-CA"/>
        </w:rPr>
        <w:fldChar w:fldCharType="end"/>
      </w:r>
    </w:p>
    <w:p>
      <w:pPr>
        <w:pStyle w:val="TOC3"/>
        <w:tabs>
          <w:tab w:val="left" w:pos="1440" w:leader="none"/>
          <w:tab w:val="right" w:pos="8309" w:leader="dot"/>
        </w:tabs>
        <w:rPr>
          <w:rFonts w:eastAsia="Times New Roman"/>
          <w:color w:val="000000"/>
          <w:lang w:val="en-CA" w:eastAsia="en-CA"/>
        </w:rPr>
      </w:pPr>
      <w:bookmarkStart w:id="68" w:name="_DV_M34"/>
      <w:bookmarkEnd w:id="68"/>
      <w:r>
        <w:rPr>
          <w:color w:val="000000"/>
          <w:lang w:val="en-CA" w:eastAsia="en-CA"/>
        </w:rPr>
        <w:t>4.3</w:t>
      </w:r>
      <w:r>
        <w:rPr>
          <w:rFonts w:eastAsia="Times New Roman"/>
          <w:color w:val="000000"/>
          <w:lang w:val="en-CA" w:eastAsia="en-CA"/>
        </w:rPr>
        <w:tab/>
      </w:r>
      <w:r>
        <w:rPr>
          <w:color w:val="000000"/>
          <w:lang w:val="en-CA" w:eastAsia="en-CA"/>
        </w:rPr>
        <w:t>Reinstatement.</w:t>
        <w:tab/>
      </w:r>
      <w:r>
        <w:rPr>
          <w:lang w:val="en-CA" w:eastAsia="en-CA"/>
        </w:rPr>
        <w:fldChar w:fldCharType="begin"/>
      </w:r>
      <w:r>
        <w:rPr>
          <w:lang w:val="en-CA" w:eastAsia="en-CA"/>
        </w:rPr>
        <w:instrText xml:space="preserve"> PAGEREF __RefHeading___Toc490591564 \h </w:instrText>
      </w:r>
      <w:r>
        <w:rPr>
          <w:lang w:val="en-CA" w:eastAsia="en-CA"/>
        </w:rPr>
        <w:fldChar w:fldCharType="separate"/>
      </w:r>
      <w:r>
        <w:rPr>
          <w:lang w:val="en-CA" w:eastAsia="en-CA"/>
        </w:rPr>
        <w:t>22</w:t>
      </w:r>
      <w:r>
        <w:rPr>
          <w:lang w:val="en-CA" w:eastAsia="en-CA"/>
        </w:rPr>
        <w:fldChar w:fldCharType="end"/>
      </w:r>
    </w:p>
    <w:p>
      <w:pPr>
        <w:pStyle w:val="TOC3"/>
        <w:tabs>
          <w:tab w:val="left" w:pos="1440" w:leader="none"/>
          <w:tab w:val="right" w:pos="8309" w:leader="dot"/>
        </w:tabs>
        <w:rPr>
          <w:rFonts w:eastAsia="Times New Roman"/>
          <w:color w:val="000000"/>
          <w:lang w:val="en-CA" w:eastAsia="en-CA"/>
        </w:rPr>
      </w:pPr>
      <w:bookmarkStart w:id="69" w:name="_DV_M35"/>
      <w:bookmarkEnd w:id="69"/>
      <w:r>
        <w:rPr>
          <w:color w:val="000000"/>
          <w:lang w:val="en-CA" w:eastAsia="en-CA"/>
        </w:rPr>
        <w:t>4.4</w:t>
      </w:r>
      <w:r>
        <w:rPr>
          <w:rFonts w:eastAsia="Times New Roman"/>
          <w:color w:val="000000"/>
          <w:lang w:val="en-CA" w:eastAsia="en-CA"/>
        </w:rPr>
        <w:tab/>
      </w:r>
      <w:r>
        <w:rPr>
          <w:color w:val="000000"/>
          <w:lang w:val="en-CA" w:eastAsia="en-CA"/>
        </w:rPr>
        <w:t>Waivers.</w:t>
        <w:tab/>
      </w:r>
      <w:r>
        <w:rPr>
          <w:lang w:val="en-CA" w:eastAsia="en-CA"/>
        </w:rPr>
        <w:fldChar w:fldCharType="begin"/>
      </w:r>
      <w:r>
        <w:rPr>
          <w:lang w:val="en-CA" w:eastAsia="en-CA"/>
        </w:rPr>
        <w:instrText xml:space="preserve"> PAGEREF __RefHeading___Toc490591565 \h </w:instrText>
      </w:r>
      <w:r>
        <w:rPr>
          <w:lang w:val="en-CA" w:eastAsia="en-CA"/>
        </w:rPr>
        <w:fldChar w:fldCharType="separate"/>
      </w:r>
      <w:r>
        <w:rPr>
          <w:lang w:val="en-CA" w:eastAsia="en-CA"/>
        </w:rPr>
        <w:t>22</w:t>
      </w:r>
      <w:r>
        <w:rPr>
          <w:lang w:val="en-CA" w:eastAsia="en-CA"/>
        </w:rPr>
        <w:fldChar w:fldCharType="end"/>
      </w:r>
    </w:p>
    <w:p>
      <w:pPr>
        <w:pStyle w:val="TOC3"/>
        <w:tabs>
          <w:tab w:val="left" w:pos="1440" w:leader="none"/>
          <w:tab w:val="right" w:pos="8309" w:leader="dot"/>
        </w:tabs>
        <w:rPr>
          <w:rFonts w:eastAsia="Times New Roman"/>
          <w:color w:val="000000"/>
          <w:lang w:val="en-CA" w:eastAsia="en-CA"/>
        </w:rPr>
      </w:pPr>
      <w:bookmarkStart w:id="70" w:name="_DV_M36"/>
      <w:bookmarkEnd w:id="70"/>
      <w:r>
        <w:rPr>
          <w:color w:val="000000"/>
          <w:lang w:val="en-CA" w:eastAsia="en-CA"/>
        </w:rPr>
        <w:t>4.5</w:t>
      </w:r>
      <w:r>
        <w:rPr>
          <w:rFonts w:eastAsia="Times New Roman"/>
          <w:color w:val="000000"/>
          <w:lang w:val="en-CA" w:eastAsia="en-CA"/>
        </w:rPr>
        <w:tab/>
      </w:r>
      <w:r>
        <w:rPr>
          <w:color w:val="000000"/>
          <w:lang w:val="en-CA" w:eastAsia="en-CA"/>
        </w:rPr>
        <w:t>Declaration that Due and Payable.</w:t>
        <w:tab/>
      </w:r>
      <w:r>
        <w:rPr>
          <w:lang w:val="en-CA" w:eastAsia="en-CA"/>
        </w:rPr>
        <w:fldChar w:fldCharType="begin"/>
      </w:r>
      <w:r>
        <w:rPr>
          <w:lang w:val="en-CA" w:eastAsia="en-CA"/>
        </w:rPr>
        <w:instrText xml:space="preserve"> PAGEREF __RefHeading___Toc490591566 \h </w:instrText>
      </w:r>
      <w:r>
        <w:rPr>
          <w:lang w:val="en-CA" w:eastAsia="en-CA"/>
        </w:rPr>
        <w:fldChar w:fldCharType="separate"/>
      </w:r>
      <w:r>
        <w:rPr>
          <w:lang w:val="en-CA" w:eastAsia="en-CA"/>
        </w:rPr>
        <w:t>24</w:t>
      </w:r>
      <w:r>
        <w:rPr>
          <w:lang w:val="en-CA" w:eastAsia="en-CA"/>
        </w:rPr>
        <w:fldChar w:fldCharType="end"/>
      </w:r>
    </w:p>
    <w:p>
      <w:pPr>
        <w:pStyle w:val="TOC3"/>
        <w:tabs>
          <w:tab w:val="left" w:pos="1440" w:leader="none"/>
          <w:tab w:val="right" w:pos="8309" w:leader="dot"/>
        </w:tabs>
        <w:rPr>
          <w:rFonts w:eastAsia="Times New Roman"/>
          <w:color w:val="000000"/>
          <w:lang w:val="en-CA" w:eastAsia="en-CA"/>
        </w:rPr>
      </w:pPr>
      <w:bookmarkStart w:id="71" w:name="_DV_M37"/>
      <w:bookmarkEnd w:id="71"/>
      <w:r>
        <w:rPr>
          <w:color w:val="000000"/>
          <w:lang w:val="en-CA" w:eastAsia="en-CA"/>
        </w:rPr>
        <w:t>4.6</w:t>
      </w:r>
      <w:r>
        <w:rPr>
          <w:rFonts w:eastAsia="Times New Roman"/>
          <w:color w:val="000000"/>
          <w:lang w:val="en-CA" w:eastAsia="en-CA"/>
        </w:rPr>
        <w:tab/>
      </w:r>
      <w:r>
        <w:rPr>
          <w:color w:val="000000"/>
          <w:lang w:val="en-CA" w:eastAsia="en-CA"/>
        </w:rPr>
        <w:t>Instrument for the Payment of Money.</w:t>
        <w:tab/>
      </w:r>
      <w:r>
        <w:rPr>
          <w:lang w:val="en-CA" w:eastAsia="en-CA"/>
        </w:rPr>
        <w:fldChar w:fldCharType="begin"/>
      </w:r>
      <w:r>
        <w:rPr>
          <w:lang w:val="en-CA" w:eastAsia="en-CA"/>
        </w:rPr>
        <w:instrText xml:space="preserve"> PAGEREF __RefHeading___Toc490591567 \h </w:instrText>
      </w:r>
      <w:r>
        <w:rPr>
          <w:lang w:val="en-CA" w:eastAsia="en-CA"/>
        </w:rPr>
        <w:fldChar w:fldCharType="separate"/>
      </w:r>
      <w:r>
        <w:rPr>
          <w:lang w:val="en-CA" w:eastAsia="en-CA"/>
        </w:rPr>
        <w:t>24</w:t>
      </w:r>
      <w:r>
        <w:rPr>
          <w:lang w:val="en-CA" w:eastAsia="en-CA"/>
        </w:rPr>
        <w:fldChar w:fldCharType="end"/>
      </w:r>
    </w:p>
    <w:p>
      <w:pPr>
        <w:pStyle w:val="TOC3"/>
        <w:tabs>
          <w:tab w:val="left" w:pos="1440" w:leader="none"/>
          <w:tab w:val="right" w:pos="8309" w:leader="dot"/>
        </w:tabs>
        <w:rPr>
          <w:rFonts w:eastAsia="Times New Roman"/>
          <w:color w:val="000000"/>
          <w:lang w:val="en-CA" w:eastAsia="en-CA"/>
        </w:rPr>
      </w:pPr>
      <w:bookmarkStart w:id="72" w:name="_DV_M38"/>
      <w:bookmarkEnd w:id="72"/>
      <w:r>
        <w:rPr>
          <w:color w:val="000000"/>
          <w:lang w:val="en-CA" w:eastAsia="en-CA"/>
        </w:rPr>
        <w:t>4.7</w:t>
      </w:r>
      <w:r>
        <w:rPr>
          <w:rFonts w:eastAsia="Times New Roman"/>
          <w:color w:val="000000"/>
          <w:lang w:val="en-CA" w:eastAsia="en-CA"/>
        </w:rPr>
        <w:tab/>
      </w:r>
      <w:r>
        <w:rPr>
          <w:color w:val="000000"/>
          <w:lang w:val="en-CA" w:eastAsia="en-CA"/>
        </w:rPr>
        <w:t>Continuing Guarantee.</w:t>
        <w:tab/>
      </w:r>
      <w:r>
        <w:rPr>
          <w:lang w:val="en-CA" w:eastAsia="en-CA"/>
        </w:rPr>
        <w:fldChar w:fldCharType="begin"/>
      </w:r>
      <w:r>
        <w:rPr>
          <w:lang w:val="en-CA" w:eastAsia="en-CA"/>
        </w:rPr>
        <w:instrText xml:space="preserve"> PAGEREF __RefHeading___Toc490591568 \h </w:instrText>
      </w:r>
      <w:r>
        <w:rPr>
          <w:lang w:val="en-CA" w:eastAsia="en-CA"/>
        </w:rPr>
        <w:fldChar w:fldCharType="separate"/>
      </w:r>
      <w:r>
        <w:rPr>
          <w:lang w:val="en-CA" w:eastAsia="en-CA"/>
        </w:rPr>
        <w:t>24</w:t>
      </w:r>
      <w:r>
        <w:rPr>
          <w:lang w:val="en-CA" w:eastAsia="en-CA"/>
        </w:rPr>
        <w:fldChar w:fldCharType="end"/>
      </w:r>
    </w:p>
    <w:p>
      <w:pPr>
        <w:pStyle w:val="TOC3"/>
        <w:tabs>
          <w:tab w:val="left" w:pos="1440" w:leader="none"/>
          <w:tab w:val="right" w:pos="8309" w:leader="dot"/>
        </w:tabs>
        <w:rPr>
          <w:rFonts w:eastAsia="Times New Roman"/>
          <w:color w:val="000000"/>
          <w:lang w:val="en-CA" w:eastAsia="en-CA"/>
        </w:rPr>
      </w:pPr>
      <w:bookmarkStart w:id="73" w:name="_DV_M39"/>
      <w:bookmarkEnd w:id="73"/>
      <w:r>
        <w:rPr>
          <w:color w:val="000000"/>
          <w:lang w:val="en-CA" w:eastAsia="en-CA"/>
        </w:rPr>
        <w:t>4.8</w:t>
      </w:r>
      <w:r>
        <w:rPr>
          <w:rFonts w:eastAsia="Times New Roman"/>
          <w:color w:val="000000"/>
          <w:lang w:val="en-CA" w:eastAsia="en-CA"/>
        </w:rPr>
        <w:tab/>
      </w:r>
      <w:r>
        <w:rPr>
          <w:color w:val="000000"/>
          <w:lang w:val="en-CA" w:eastAsia="en-CA"/>
        </w:rPr>
        <w:t>Bankruptcy.</w:t>
        <w:tab/>
      </w:r>
      <w:r>
        <w:rPr>
          <w:lang w:val="en-CA" w:eastAsia="en-CA"/>
        </w:rPr>
        <w:fldChar w:fldCharType="begin"/>
      </w:r>
      <w:r>
        <w:rPr>
          <w:lang w:val="en-CA" w:eastAsia="en-CA"/>
        </w:rPr>
        <w:instrText xml:space="preserve"> PAGEREF __RefHeading___Toc490591569 \h </w:instrText>
      </w:r>
      <w:r>
        <w:rPr>
          <w:lang w:val="en-CA" w:eastAsia="en-CA"/>
        </w:rPr>
        <w:fldChar w:fldCharType="separate"/>
      </w:r>
      <w:r>
        <w:rPr>
          <w:lang w:val="en-CA" w:eastAsia="en-CA"/>
        </w:rPr>
        <w:t>24</w:t>
      </w:r>
      <w:r>
        <w:rPr>
          <w:lang w:val="en-CA" w:eastAsia="en-CA"/>
        </w:rPr>
        <w:fldChar w:fldCharType="end"/>
      </w:r>
    </w:p>
    <w:p>
      <w:pPr>
        <w:pStyle w:val="TOC3"/>
        <w:tabs>
          <w:tab w:val="left" w:pos="1440" w:leader="none"/>
          <w:tab w:val="right" w:pos="8309" w:leader="dot"/>
        </w:tabs>
        <w:rPr>
          <w:rFonts w:eastAsia="Times New Roman"/>
          <w:color w:val="000000"/>
          <w:lang w:val="en-CA" w:eastAsia="en-CA"/>
        </w:rPr>
      </w:pPr>
      <w:bookmarkStart w:id="74" w:name="_DV_M40"/>
      <w:bookmarkEnd w:id="74"/>
      <w:r>
        <w:rPr>
          <w:color w:val="000000"/>
          <w:lang w:val="en-CA" w:eastAsia="en-CA"/>
        </w:rPr>
        <w:t>4.9</w:t>
      </w:r>
      <w:r>
        <w:rPr>
          <w:rFonts w:eastAsia="Times New Roman"/>
          <w:color w:val="000000"/>
          <w:lang w:val="en-CA" w:eastAsia="en-CA"/>
        </w:rPr>
        <w:tab/>
      </w:r>
      <w:r>
        <w:rPr>
          <w:color w:val="000000"/>
          <w:lang w:val="en-CA" w:eastAsia="en-CA"/>
        </w:rPr>
        <w:t>Notice.</w:t>
        <w:tab/>
      </w:r>
      <w:r>
        <w:rPr>
          <w:lang w:val="en-CA" w:eastAsia="en-CA"/>
        </w:rPr>
        <w:fldChar w:fldCharType="begin"/>
      </w:r>
      <w:r>
        <w:rPr>
          <w:lang w:val="en-CA" w:eastAsia="en-CA"/>
        </w:rPr>
        <w:instrText xml:space="preserve"> PAGEREF __RefHeading___Toc490591570 \h </w:instrText>
      </w:r>
      <w:r>
        <w:rPr>
          <w:lang w:val="en-CA" w:eastAsia="en-CA"/>
        </w:rPr>
        <w:fldChar w:fldCharType="separate"/>
      </w:r>
      <w:r>
        <w:rPr>
          <w:lang w:val="en-CA" w:eastAsia="en-CA"/>
        </w:rPr>
        <w:t>25</w:t>
      </w:r>
      <w:r>
        <w:rPr>
          <w:lang w:val="en-CA" w:eastAsia="en-CA"/>
        </w:rPr>
        <w:fldChar w:fldCharType="end"/>
      </w:r>
    </w:p>
    <w:p>
      <w:pPr>
        <w:pStyle w:val="TOC3"/>
        <w:tabs>
          <w:tab w:val="left" w:pos="1440" w:leader="none"/>
          <w:tab w:val="right" w:pos="8309" w:leader="dot"/>
        </w:tabs>
        <w:rPr>
          <w:rFonts w:eastAsia="Times New Roman"/>
          <w:color w:val="000000"/>
          <w:lang w:val="en-CA" w:eastAsia="en-CA"/>
        </w:rPr>
      </w:pPr>
      <w:bookmarkStart w:id="75" w:name="_DV_M41"/>
      <w:bookmarkEnd w:id="75"/>
      <w:r>
        <w:rPr>
          <w:color w:val="000000"/>
          <w:lang w:val="en-CA" w:eastAsia="en-CA"/>
        </w:rPr>
        <w:t>4.10</w:t>
      </w:r>
      <w:r>
        <w:rPr>
          <w:rFonts w:eastAsia="Times New Roman"/>
          <w:color w:val="000000"/>
          <w:lang w:val="en-CA" w:eastAsia="en-CA"/>
        </w:rPr>
        <w:tab/>
      </w:r>
      <w:r>
        <w:rPr>
          <w:color w:val="000000"/>
          <w:lang w:val="en-CA" w:eastAsia="en-CA"/>
        </w:rPr>
        <w:t>Guaranty of Payment.</w:t>
        <w:tab/>
      </w:r>
      <w:r>
        <w:rPr>
          <w:lang w:val="en-CA" w:eastAsia="en-CA"/>
        </w:rPr>
        <w:fldChar w:fldCharType="begin"/>
      </w:r>
      <w:r>
        <w:rPr>
          <w:lang w:val="en-CA" w:eastAsia="en-CA"/>
        </w:rPr>
        <w:instrText xml:space="preserve"> PAGEREF __RefHeading___Toc490591571 \h </w:instrText>
      </w:r>
      <w:r>
        <w:rPr>
          <w:lang w:val="en-CA" w:eastAsia="en-CA"/>
        </w:rPr>
        <w:fldChar w:fldCharType="separate"/>
      </w:r>
      <w:r>
        <w:rPr>
          <w:lang w:val="en-CA" w:eastAsia="en-CA"/>
        </w:rPr>
        <w:t>25</w:t>
      </w:r>
      <w:r>
        <w:rPr>
          <w:lang w:val="en-CA" w:eastAsia="en-CA"/>
        </w:rPr>
        <w:fldChar w:fldCharType="end"/>
      </w:r>
    </w:p>
    <w:p>
      <w:pPr>
        <w:pStyle w:val="TOC3"/>
        <w:tabs>
          <w:tab w:val="left" w:pos="1440" w:leader="none"/>
          <w:tab w:val="right" w:pos="8309" w:leader="dot"/>
        </w:tabs>
        <w:rPr>
          <w:color w:val="000000"/>
          <w:lang w:val="en-CA" w:eastAsia="en-CA"/>
        </w:rPr>
      </w:pPr>
      <w:bookmarkStart w:id="76" w:name="_DV_M42"/>
      <w:bookmarkEnd w:id="76"/>
      <w:r>
        <w:rPr>
          <w:color w:val="000000"/>
          <w:lang w:val="en-CA" w:eastAsia="en-CA"/>
        </w:rPr>
        <w:t>4.11</w:t>
      </w:r>
      <w:r>
        <w:rPr>
          <w:rFonts w:eastAsia="Times New Roman"/>
          <w:color w:val="000000"/>
          <w:lang w:val="en-CA" w:eastAsia="en-CA"/>
        </w:rPr>
        <w:tab/>
      </w:r>
      <w:r>
        <w:rPr>
          <w:color w:val="000000"/>
          <w:lang w:val="en-CA" w:eastAsia="en-CA"/>
        </w:rPr>
        <w:t>Subrogation and Subordination.</w:t>
        <w:tab/>
      </w:r>
      <w:r>
        <w:rPr>
          <w:lang w:val="en-CA" w:eastAsia="en-CA"/>
        </w:rPr>
        <w:fldChar w:fldCharType="begin"/>
      </w:r>
      <w:r>
        <w:rPr>
          <w:lang w:val="en-CA" w:eastAsia="en-CA"/>
        </w:rPr>
        <w:instrText xml:space="preserve"> PAGEREF __RefHeading___Toc490591572 \h </w:instrText>
      </w:r>
      <w:r>
        <w:rPr>
          <w:lang w:val="en-CA" w:eastAsia="en-CA"/>
        </w:rPr>
        <w:fldChar w:fldCharType="separate"/>
      </w:r>
      <w:r>
        <w:rPr>
          <w:lang w:val="en-CA" w:eastAsia="en-CA"/>
        </w:rPr>
        <w:t>25</w:t>
      </w:r>
      <w:r>
        <w:rPr>
          <w:lang w:val="en-CA" w:eastAsia="en-CA"/>
        </w:rPr>
        <w:fldChar w:fldCharType="end"/>
      </w:r>
    </w:p>
    <w:p>
      <w:pPr>
        <w:pStyle w:val="BodyText"/>
        <w:rPr>
          <w:color w:val="000000"/>
          <w:lang w:val="en-CA" w:eastAsia="en-CA"/>
        </w:rPr>
      </w:pPr>
      <w:r>
        <w:rPr>
          <w:color w:val="000000"/>
          <w:lang w:val="en-CA" w:eastAsia="en-CA"/>
        </w:rPr>
      </w:r>
    </w:p>
    <w:p>
      <w:pPr>
        <w:pStyle w:val="TOC2"/>
        <w:numPr>
          <w:ilvl w:val="0"/>
          <w:numId w:val="14"/>
        </w:numPr>
        <w:ind w:hanging="0" w:start="0"/>
        <w:rPr>
          <w:rFonts w:eastAsia="Times New Roman"/>
          <w:caps w:val="false"/>
          <w:smallCaps w:val="false"/>
          <w:color w:val="000000"/>
          <w:lang w:val="en-CA" w:eastAsia="en-CA"/>
        </w:rPr>
      </w:pPr>
      <w:bookmarkStart w:id="77" w:name="_DV_M43"/>
      <w:bookmarkEnd w:id="77"/>
      <w:r>
        <w:rPr>
          <w:color w:val="000000"/>
          <w:lang w:val="en-CA" w:eastAsia="en-CA"/>
        </w:rPr>
        <w:t>ARTICLE 5.  Payments Free And Clear Of Taxes, Etc.</w:t>
        <w:tab/>
      </w:r>
      <w:r>
        <w:rPr>
          <w:lang w:val="en-CA" w:eastAsia="en-CA"/>
        </w:rPr>
        <w:fldChar w:fldCharType="begin"/>
      </w:r>
      <w:r>
        <w:rPr>
          <w:lang w:val="en-CA" w:eastAsia="en-CA"/>
        </w:rPr>
        <w:instrText xml:space="preserve"> PAGEREF __RefHeading___Toc490591573 \h </w:instrText>
      </w:r>
      <w:r>
        <w:rPr>
          <w:lang w:val="en-CA" w:eastAsia="en-CA"/>
        </w:rPr>
        <w:fldChar w:fldCharType="separate"/>
      </w:r>
      <w:r>
        <w:rPr>
          <w:lang w:val="en-CA" w:eastAsia="en-CA"/>
        </w:rPr>
        <w:t>25</w:t>
      </w:r>
      <w:r>
        <w:rPr>
          <w:lang w:val="en-CA" w:eastAsia="en-CA"/>
        </w:rPr>
        <w:fldChar w:fldCharType="end"/>
      </w:r>
    </w:p>
    <w:p>
      <w:pPr>
        <w:pStyle w:val="TOC3"/>
        <w:tabs>
          <w:tab w:val="left" w:pos="1440" w:leader="none"/>
          <w:tab w:val="right" w:pos="8309" w:leader="dot"/>
        </w:tabs>
        <w:rPr>
          <w:rFonts w:eastAsia="Times New Roman"/>
          <w:color w:val="000000"/>
          <w:lang w:val="en-CA" w:eastAsia="en-CA"/>
        </w:rPr>
      </w:pPr>
      <w:bookmarkStart w:id="78" w:name="_DV_M44"/>
      <w:bookmarkEnd w:id="78"/>
      <w:r>
        <w:rPr>
          <w:color w:val="000000"/>
          <w:lang w:val="en-CA" w:eastAsia="en-CA"/>
        </w:rPr>
        <w:t>5.1</w:t>
      </w:r>
      <w:r>
        <w:rPr>
          <w:rFonts w:eastAsia="Times New Roman"/>
          <w:color w:val="000000"/>
          <w:lang w:val="en-CA" w:eastAsia="en-CA"/>
        </w:rPr>
        <w:tab/>
      </w:r>
      <w:r>
        <w:rPr>
          <w:color w:val="000000"/>
          <w:lang w:val="en-CA" w:eastAsia="en-CA"/>
        </w:rPr>
        <w:t>Payments Free and Clear of Taxes.</w:t>
        <w:tab/>
      </w:r>
      <w:r>
        <w:rPr>
          <w:lang w:val="en-CA" w:eastAsia="en-CA"/>
        </w:rPr>
        <w:fldChar w:fldCharType="begin"/>
      </w:r>
      <w:r>
        <w:rPr>
          <w:lang w:val="en-CA" w:eastAsia="en-CA"/>
        </w:rPr>
        <w:instrText xml:space="preserve"> PAGEREF __RefHeading___Toc490591574 \h </w:instrText>
      </w:r>
      <w:r>
        <w:rPr>
          <w:lang w:val="en-CA" w:eastAsia="en-CA"/>
        </w:rPr>
        <w:fldChar w:fldCharType="separate"/>
      </w:r>
      <w:r>
        <w:rPr>
          <w:lang w:val="en-CA" w:eastAsia="en-CA"/>
        </w:rPr>
        <w:t>25</w:t>
      </w:r>
      <w:r>
        <w:rPr>
          <w:lang w:val="en-CA" w:eastAsia="en-CA"/>
        </w:rPr>
        <w:fldChar w:fldCharType="end"/>
      </w:r>
    </w:p>
    <w:p>
      <w:pPr>
        <w:pStyle w:val="TOC3"/>
        <w:tabs>
          <w:tab w:val="left" w:pos="1440" w:leader="none"/>
          <w:tab w:val="right" w:pos="8309" w:leader="dot"/>
        </w:tabs>
        <w:rPr>
          <w:color w:val="000000"/>
          <w:lang w:val="en-CA" w:eastAsia="en-CA"/>
        </w:rPr>
      </w:pPr>
      <w:bookmarkStart w:id="79" w:name="_DV_M45"/>
      <w:bookmarkEnd w:id="79"/>
      <w:r>
        <w:rPr>
          <w:color w:val="000000"/>
          <w:lang w:val="en-CA" w:eastAsia="en-CA"/>
        </w:rPr>
        <w:t>5.2</w:t>
      </w:r>
      <w:r>
        <w:rPr>
          <w:rFonts w:eastAsia="Times New Roman"/>
          <w:color w:val="000000"/>
          <w:lang w:val="en-CA" w:eastAsia="en-CA"/>
        </w:rPr>
        <w:tab/>
      </w:r>
      <w:r>
        <w:rPr>
          <w:color w:val="000000"/>
          <w:lang w:val="en-CA" w:eastAsia="en-CA"/>
        </w:rPr>
        <w:t>Payment to Tax Authorities.</w:t>
        <w:tab/>
      </w:r>
      <w:r>
        <w:rPr>
          <w:lang w:val="en-CA" w:eastAsia="en-CA"/>
        </w:rPr>
        <w:fldChar w:fldCharType="begin"/>
      </w:r>
      <w:r>
        <w:rPr>
          <w:lang w:val="en-CA" w:eastAsia="en-CA"/>
        </w:rPr>
        <w:instrText xml:space="preserve"> PAGEREF __RefHeading___Toc490591575 \h </w:instrText>
      </w:r>
      <w:r>
        <w:rPr>
          <w:lang w:val="en-CA" w:eastAsia="en-CA"/>
        </w:rPr>
        <w:fldChar w:fldCharType="separate"/>
      </w:r>
      <w:r>
        <w:rPr>
          <w:lang w:val="en-CA" w:eastAsia="en-CA"/>
        </w:rPr>
        <w:t>26</w:t>
      </w:r>
      <w:r>
        <w:rPr>
          <w:lang w:val="en-CA" w:eastAsia="en-CA"/>
        </w:rPr>
        <w:fldChar w:fldCharType="end"/>
      </w:r>
    </w:p>
    <w:p>
      <w:pPr>
        <w:pStyle w:val="BodyText"/>
        <w:rPr>
          <w:color w:val="000000"/>
          <w:lang w:val="en-CA" w:eastAsia="en-CA"/>
        </w:rPr>
      </w:pPr>
      <w:r>
        <w:rPr>
          <w:color w:val="000000"/>
          <w:lang w:val="en-CA" w:eastAsia="en-CA"/>
        </w:rPr>
      </w:r>
    </w:p>
    <w:p>
      <w:pPr>
        <w:pStyle w:val="TOC2"/>
        <w:numPr>
          <w:ilvl w:val="0"/>
          <w:numId w:val="14"/>
        </w:numPr>
        <w:ind w:hanging="0" w:start="0"/>
        <w:rPr>
          <w:rFonts w:eastAsia="Times New Roman"/>
          <w:caps w:val="false"/>
          <w:smallCaps w:val="false"/>
          <w:color w:val="000000"/>
          <w:lang w:val="en-CA" w:eastAsia="en-CA"/>
        </w:rPr>
      </w:pPr>
      <w:bookmarkStart w:id="80" w:name="_DV_M46"/>
      <w:bookmarkEnd w:id="80"/>
      <w:r>
        <w:rPr>
          <w:color w:val="000000"/>
          <w:lang w:val="en-CA" w:eastAsia="en-CA"/>
        </w:rPr>
        <w:t>ARTICLE 6.  Representations and Warranties</w:t>
        <w:tab/>
      </w:r>
      <w:r>
        <w:rPr>
          <w:lang w:val="en-CA" w:eastAsia="en-CA"/>
        </w:rPr>
        <w:fldChar w:fldCharType="begin"/>
      </w:r>
      <w:r>
        <w:rPr>
          <w:lang w:val="en-CA" w:eastAsia="en-CA"/>
        </w:rPr>
        <w:instrText xml:space="preserve"> PAGEREF __RefHeading___Toc490591576 \h </w:instrText>
      </w:r>
      <w:r>
        <w:rPr>
          <w:lang w:val="en-CA" w:eastAsia="en-CA"/>
        </w:rPr>
        <w:fldChar w:fldCharType="separate"/>
      </w:r>
      <w:r>
        <w:rPr>
          <w:lang w:val="en-CA" w:eastAsia="en-CA"/>
        </w:rPr>
        <w:t>26</w:t>
      </w:r>
      <w:r>
        <w:rPr>
          <w:lang w:val="en-CA" w:eastAsia="en-CA"/>
        </w:rPr>
        <w:fldChar w:fldCharType="end"/>
      </w:r>
    </w:p>
    <w:p>
      <w:pPr>
        <w:pStyle w:val="TOC3"/>
        <w:tabs>
          <w:tab w:val="left" w:pos="1440" w:leader="none"/>
          <w:tab w:val="right" w:pos="8309" w:leader="dot"/>
        </w:tabs>
        <w:rPr>
          <w:rFonts w:eastAsia="Times New Roman"/>
          <w:color w:val="000000"/>
          <w:lang w:val="en-CA" w:eastAsia="en-CA"/>
        </w:rPr>
      </w:pPr>
      <w:bookmarkStart w:id="81" w:name="_DV_M47"/>
      <w:bookmarkEnd w:id="81"/>
      <w:r>
        <w:rPr>
          <w:smallCaps/>
          <w:color w:val="000000"/>
          <w:lang w:val="en-CA" w:eastAsia="en-CA"/>
        </w:rPr>
        <w:t>6.1</w:t>
      </w:r>
      <w:r>
        <w:rPr>
          <w:rFonts w:eastAsia="Times New Roman"/>
          <w:color w:val="000000"/>
          <w:lang w:val="en-CA" w:eastAsia="en-CA"/>
        </w:rPr>
        <w:tab/>
      </w:r>
      <w:r>
        <w:rPr>
          <w:color w:val="000000"/>
          <w:lang w:val="en-CA" w:eastAsia="en-CA"/>
        </w:rPr>
        <w:t>Representations of the Shareholders and the Sponsors.</w:t>
        <w:tab/>
      </w:r>
      <w:r>
        <w:rPr>
          <w:lang w:val="en-CA" w:eastAsia="en-CA"/>
        </w:rPr>
        <w:fldChar w:fldCharType="begin"/>
      </w:r>
      <w:r>
        <w:rPr>
          <w:lang w:val="en-CA" w:eastAsia="en-CA"/>
        </w:rPr>
        <w:instrText xml:space="preserve"> PAGEREF __RefHeading___Toc490591577 \h </w:instrText>
      </w:r>
      <w:r>
        <w:rPr>
          <w:lang w:val="en-CA" w:eastAsia="en-CA"/>
        </w:rPr>
        <w:fldChar w:fldCharType="separate"/>
      </w:r>
      <w:r>
        <w:rPr>
          <w:lang w:val="en-CA" w:eastAsia="en-CA"/>
        </w:rPr>
        <w:t>26</w:t>
      </w:r>
      <w:r>
        <w:rPr>
          <w:lang w:val="en-CA" w:eastAsia="en-CA"/>
        </w:rPr>
        <w:fldChar w:fldCharType="end"/>
      </w:r>
    </w:p>
    <w:p>
      <w:pPr>
        <w:pStyle w:val="TOC3"/>
        <w:tabs>
          <w:tab w:val="left" w:pos="1440" w:leader="none"/>
          <w:tab w:val="right" w:pos="8309" w:leader="dot"/>
        </w:tabs>
        <w:rPr>
          <w:rFonts w:eastAsia="Times New Roman"/>
          <w:color w:val="000000"/>
          <w:lang w:val="en-CA" w:eastAsia="en-CA"/>
        </w:rPr>
      </w:pPr>
      <w:bookmarkStart w:id="82" w:name="_DV_M48"/>
      <w:bookmarkEnd w:id="82"/>
      <w:r>
        <w:rPr>
          <w:color w:val="000000"/>
          <w:lang w:val="en-CA" w:eastAsia="en-CA"/>
        </w:rPr>
        <w:t>6.2</w:t>
      </w:r>
      <w:r>
        <w:rPr>
          <w:rFonts w:eastAsia="Times New Roman"/>
          <w:color w:val="000000"/>
          <w:lang w:val="en-CA" w:eastAsia="en-CA"/>
        </w:rPr>
        <w:tab/>
      </w:r>
      <w:r>
        <w:rPr>
          <w:color w:val="000000"/>
          <w:lang w:val="en-CA" w:eastAsia="en-CA"/>
        </w:rPr>
        <w:t>Further Representations and Warranties of Enron Corp.</w:t>
        <w:tab/>
      </w:r>
      <w:r>
        <w:rPr>
          <w:lang w:val="en-CA" w:eastAsia="en-CA"/>
        </w:rPr>
        <w:fldChar w:fldCharType="begin"/>
      </w:r>
      <w:r>
        <w:rPr>
          <w:lang w:val="en-CA" w:eastAsia="en-CA"/>
        </w:rPr>
        <w:instrText xml:space="preserve"> PAGEREF __RefHeading___Toc490591578 \h </w:instrText>
      </w:r>
      <w:r>
        <w:rPr>
          <w:lang w:val="en-CA" w:eastAsia="en-CA"/>
        </w:rPr>
        <w:fldChar w:fldCharType="separate"/>
      </w:r>
      <w:r>
        <w:rPr>
          <w:lang w:val="en-CA" w:eastAsia="en-CA"/>
        </w:rPr>
        <w:t>29</w:t>
      </w:r>
      <w:r>
        <w:rPr>
          <w:lang w:val="en-CA" w:eastAsia="en-CA"/>
        </w:rPr>
        <w:fldChar w:fldCharType="end"/>
      </w:r>
    </w:p>
    <w:p>
      <w:pPr>
        <w:pStyle w:val="TOC3"/>
        <w:tabs>
          <w:tab w:val="left" w:pos="1440" w:leader="none"/>
          <w:tab w:val="right" w:pos="8309" w:leader="dot"/>
        </w:tabs>
        <w:rPr>
          <w:color w:val="000000"/>
          <w:lang w:val="en-CA" w:eastAsia="en-CA"/>
        </w:rPr>
      </w:pPr>
      <w:bookmarkStart w:id="83" w:name="_DV_M49"/>
      <w:bookmarkEnd w:id="83"/>
      <w:r>
        <w:rPr>
          <w:color w:val="000000"/>
          <w:lang w:val="en-CA" w:eastAsia="en-CA"/>
        </w:rPr>
        <w:t>6.3</w:t>
      </w:r>
      <w:r>
        <w:rPr>
          <w:rFonts w:eastAsia="Times New Roman"/>
          <w:color w:val="000000"/>
          <w:lang w:val="en-CA" w:eastAsia="en-CA"/>
        </w:rPr>
        <w:tab/>
      </w:r>
      <w:r>
        <w:rPr>
          <w:color w:val="000000"/>
          <w:lang w:val="en-CA" w:eastAsia="en-CA"/>
        </w:rPr>
        <w:t>Further Representations and Warranties of SOTL.</w:t>
        <w:tab/>
      </w:r>
      <w:r>
        <w:rPr>
          <w:lang w:val="en-CA" w:eastAsia="en-CA"/>
        </w:rPr>
        <w:fldChar w:fldCharType="begin"/>
      </w:r>
      <w:r>
        <w:rPr>
          <w:lang w:val="en-CA" w:eastAsia="en-CA"/>
        </w:rPr>
        <w:instrText xml:space="preserve"> PAGEREF __RefHeading___Toc490591579 \h </w:instrText>
      </w:r>
      <w:r>
        <w:rPr>
          <w:lang w:val="en-CA" w:eastAsia="en-CA"/>
        </w:rPr>
        <w:fldChar w:fldCharType="separate"/>
      </w:r>
      <w:r>
        <w:rPr>
          <w:lang w:val="en-CA" w:eastAsia="en-CA"/>
        </w:rPr>
        <w:t>29</w:t>
      </w:r>
      <w:r>
        <w:rPr>
          <w:lang w:val="en-CA" w:eastAsia="en-CA"/>
        </w:rPr>
        <w:fldChar w:fldCharType="end"/>
      </w:r>
    </w:p>
    <w:p>
      <w:pPr>
        <w:pStyle w:val="BodyText"/>
        <w:rPr>
          <w:color w:val="000000"/>
          <w:lang w:val="en-CA" w:eastAsia="en-CA"/>
        </w:rPr>
      </w:pPr>
      <w:r>
        <w:rPr>
          <w:color w:val="000000"/>
          <w:lang w:val="en-CA" w:eastAsia="en-CA"/>
        </w:rPr>
      </w:r>
    </w:p>
    <w:p>
      <w:pPr>
        <w:pStyle w:val="TOC2"/>
        <w:numPr>
          <w:ilvl w:val="0"/>
          <w:numId w:val="14"/>
        </w:numPr>
        <w:ind w:hanging="0" w:start="0"/>
        <w:rPr>
          <w:rFonts w:eastAsia="Times New Roman"/>
          <w:caps w:val="false"/>
          <w:smallCaps w:val="false"/>
          <w:color w:val="000000"/>
          <w:lang w:val="en-CA" w:eastAsia="en-CA"/>
        </w:rPr>
      </w:pPr>
      <w:bookmarkStart w:id="84" w:name="_DV_M50"/>
      <w:bookmarkEnd w:id="84"/>
      <w:r>
        <w:rPr>
          <w:color w:val="000000"/>
          <w:lang w:val="en-CA" w:eastAsia="en-CA"/>
        </w:rPr>
        <w:t>ARTICLE 7.   Covenants</w:t>
        <w:tab/>
      </w:r>
      <w:r>
        <w:rPr>
          <w:lang w:val="en-CA" w:eastAsia="en-CA"/>
        </w:rPr>
        <w:fldChar w:fldCharType="begin"/>
      </w:r>
      <w:r>
        <w:rPr>
          <w:lang w:val="en-CA" w:eastAsia="en-CA"/>
        </w:rPr>
        <w:instrText xml:space="preserve"> PAGEREF __RefHeading___Toc490591580 \h </w:instrText>
      </w:r>
      <w:r>
        <w:rPr>
          <w:lang w:val="en-CA" w:eastAsia="en-CA"/>
        </w:rPr>
        <w:fldChar w:fldCharType="separate"/>
      </w:r>
      <w:r>
        <w:rPr>
          <w:lang w:val="en-CA" w:eastAsia="en-CA"/>
        </w:rPr>
        <w:t>30</w:t>
      </w:r>
      <w:r>
        <w:rPr>
          <w:lang w:val="en-CA" w:eastAsia="en-CA"/>
        </w:rPr>
        <w:fldChar w:fldCharType="end"/>
      </w:r>
    </w:p>
    <w:p>
      <w:pPr>
        <w:pStyle w:val="TOC3"/>
        <w:tabs>
          <w:tab w:val="left" w:pos="1440" w:leader="none"/>
          <w:tab w:val="right" w:pos="8309" w:leader="dot"/>
        </w:tabs>
        <w:rPr>
          <w:rFonts w:eastAsia="Times New Roman"/>
          <w:color w:val="000000"/>
          <w:lang w:val="en-CA" w:eastAsia="en-CA"/>
        </w:rPr>
      </w:pPr>
      <w:bookmarkStart w:id="85" w:name="_DV_M51"/>
      <w:bookmarkEnd w:id="85"/>
      <w:r>
        <w:rPr>
          <w:color w:val="000000"/>
          <w:lang w:val="en-CA" w:eastAsia="en-CA"/>
        </w:rPr>
        <w:t>7.1</w:t>
      </w:r>
      <w:r>
        <w:rPr>
          <w:rFonts w:eastAsia="Times New Roman"/>
          <w:color w:val="000000"/>
          <w:lang w:val="en-CA" w:eastAsia="en-CA"/>
        </w:rPr>
        <w:tab/>
      </w:r>
      <w:r>
        <w:rPr>
          <w:color w:val="000000"/>
          <w:lang w:val="en-CA" w:eastAsia="en-CA"/>
        </w:rPr>
        <w:t>Covenants of the Sponsors and Shareholders.</w:t>
        <w:tab/>
      </w:r>
      <w:r>
        <w:rPr>
          <w:lang w:val="en-CA" w:eastAsia="en-CA"/>
        </w:rPr>
        <w:fldChar w:fldCharType="begin"/>
      </w:r>
      <w:r>
        <w:rPr>
          <w:lang w:val="en-CA" w:eastAsia="en-CA"/>
        </w:rPr>
        <w:instrText xml:space="preserve"> PAGEREF __RefHeading___Toc490591581 \h </w:instrText>
      </w:r>
      <w:r>
        <w:rPr>
          <w:lang w:val="en-CA" w:eastAsia="en-CA"/>
        </w:rPr>
        <w:fldChar w:fldCharType="separate"/>
      </w:r>
      <w:r>
        <w:rPr>
          <w:lang w:val="en-CA" w:eastAsia="en-CA"/>
        </w:rPr>
        <w:t>30</w:t>
      </w:r>
      <w:r>
        <w:rPr>
          <w:lang w:val="en-CA" w:eastAsia="en-CA"/>
        </w:rPr>
        <w:fldChar w:fldCharType="end"/>
      </w:r>
    </w:p>
    <w:p>
      <w:pPr>
        <w:pStyle w:val="TOC3"/>
        <w:tabs>
          <w:tab w:val="left" w:pos="1440" w:leader="none"/>
          <w:tab w:val="right" w:pos="8309" w:leader="dot"/>
        </w:tabs>
        <w:rPr>
          <w:color w:val="000000"/>
          <w:lang w:val="en-CA" w:eastAsia="en-CA"/>
        </w:rPr>
      </w:pPr>
      <w:bookmarkStart w:id="86" w:name="_DV_M52"/>
      <w:bookmarkEnd w:id="86"/>
      <w:r>
        <w:rPr>
          <w:color w:val="000000"/>
          <w:lang w:val="en-CA" w:eastAsia="en-CA"/>
        </w:rPr>
        <w:t>7.2</w:t>
      </w:r>
      <w:r>
        <w:rPr>
          <w:rFonts w:eastAsia="Times New Roman"/>
          <w:color w:val="000000"/>
          <w:lang w:val="en-CA" w:eastAsia="en-CA"/>
        </w:rPr>
        <w:tab/>
      </w:r>
      <w:r>
        <w:rPr>
          <w:color w:val="000000"/>
          <w:lang w:val="en-CA" w:eastAsia="en-CA"/>
        </w:rPr>
        <w:t>Transfer Restrictions; Financial Statements.</w:t>
        <w:tab/>
      </w:r>
      <w:r>
        <w:rPr>
          <w:lang w:val="en-CA" w:eastAsia="en-CA"/>
        </w:rPr>
        <w:fldChar w:fldCharType="begin"/>
      </w:r>
      <w:r>
        <w:rPr>
          <w:lang w:val="en-CA" w:eastAsia="en-CA"/>
        </w:rPr>
        <w:instrText xml:space="preserve"> PAGEREF __RefHeading___Toc490591582 \h </w:instrText>
      </w:r>
      <w:r>
        <w:rPr>
          <w:lang w:val="en-CA" w:eastAsia="en-CA"/>
        </w:rPr>
        <w:fldChar w:fldCharType="separate"/>
      </w:r>
      <w:r>
        <w:rPr>
          <w:lang w:val="en-CA" w:eastAsia="en-CA"/>
        </w:rPr>
        <w:t>31</w:t>
      </w:r>
      <w:r>
        <w:rPr>
          <w:lang w:val="en-CA" w:eastAsia="en-CA"/>
        </w:rPr>
        <w:fldChar w:fldCharType="end"/>
      </w:r>
    </w:p>
    <w:p>
      <w:pPr>
        <w:pStyle w:val="BodyText"/>
        <w:rPr>
          <w:color w:val="000000"/>
          <w:lang w:val="en-CA" w:eastAsia="en-CA"/>
        </w:rPr>
      </w:pPr>
      <w:r>
        <w:rPr>
          <w:color w:val="000000"/>
          <w:lang w:val="en-CA" w:eastAsia="en-CA"/>
        </w:rPr>
      </w:r>
    </w:p>
    <w:p>
      <w:pPr>
        <w:pStyle w:val="TOC2"/>
        <w:numPr>
          <w:ilvl w:val="0"/>
          <w:numId w:val="14"/>
        </w:numPr>
        <w:ind w:hanging="0" w:start="0"/>
        <w:rPr>
          <w:rFonts w:eastAsia="Times New Roman"/>
          <w:caps w:val="false"/>
          <w:smallCaps w:val="false"/>
          <w:color w:val="000000"/>
          <w:lang w:val="en-CA" w:eastAsia="en-CA"/>
        </w:rPr>
      </w:pPr>
      <w:bookmarkStart w:id="87" w:name="_DV_M53"/>
      <w:bookmarkEnd w:id="87"/>
      <w:r>
        <w:rPr>
          <w:color w:val="000000"/>
          <w:lang w:val="en-CA" w:eastAsia="en-CA"/>
        </w:rPr>
        <w:t>ARTICLE 8.  Release From Obligations.</w:t>
        <w:tab/>
      </w:r>
      <w:r>
        <w:rPr>
          <w:lang w:val="en-CA" w:eastAsia="en-CA"/>
        </w:rPr>
        <w:fldChar w:fldCharType="begin"/>
      </w:r>
      <w:r>
        <w:rPr>
          <w:lang w:val="en-CA" w:eastAsia="en-CA"/>
        </w:rPr>
        <w:instrText xml:space="preserve"> PAGEREF __RefHeading___Toc490591583 \h </w:instrText>
      </w:r>
      <w:r>
        <w:rPr>
          <w:lang w:val="en-CA" w:eastAsia="en-CA"/>
        </w:rPr>
        <w:fldChar w:fldCharType="separate"/>
      </w:r>
      <w:r>
        <w:rPr>
          <w:lang w:val="en-CA" w:eastAsia="en-CA"/>
        </w:rPr>
        <w:t>33</w:t>
      </w:r>
      <w:r>
        <w:rPr>
          <w:lang w:val="en-CA" w:eastAsia="en-CA"/>
        </w:rPr>
        <w:fldChar w:fldCharType="end"/>
      </w:r>
    </w:p>
    <w:p>
      <w:pPr>
        <w:pStyle w:val="TOC3"/>
        <w:rPr>
          <w:color w:val="000000"/>
          <w:lang w:val="en-CA" w:eastAsia="en-CA"/>
        </w:rPr>
      </w:pPr>
      <w:bookmarkStart w:id="88" w:name="_DV_M54"/>
      <w:bookmarkEnd w:id="88"/>
      <w:r>
        <w:rPr>
          <w:color w:val="000000"/>
          <w:lang w:val="en-CA" w:eastAsia="en-CA"/>
        </w:rPr>
        <w:t>Shareholder Transfer and Release from Obligations.</w:t>
        <w:tab/>
      </w:r>
      <w:r>
        <w:rPr>
          <w:lang w:val="en-CA" w:eastAsia="en-CA"/>
        </w:rPr>
        <w:fldChar w:fldCharType="begin"/>
      </w:r>
      <w:r>
        <w:rPr>
          <w:lang w:val="en-CA" w:eastAsia="en-CA"/>
        </w:rPr>
        <w:instrText xml:space="preserve"> PAGEREF __RefHeading___Toc490591584 \h </w:instrText>
      </w:r>
      <w:r>
        <w:rPr>
          <w:lang w:val="en-CA" w:eastAsia="en-CA"/>
        </w:rPr>
        <w:fldChar w:fldCharType="separate"/>
      </w:r>
      <w:r>
        <w:rPr>
          <w:lang w:val="en-CA" w:eastAsia="en-CA"/>
        </w:rPr>
        <w:t>33</w:t>
      </w:r>
      <w:r>
        <w:rPr>
          <w:lang w:val="en-CA" w:eastAsia="en-CA"/>
        </w:rPr>
        <w:fldChar w:fldCharType="end"/>
      </w:r>
    </w:p>
    <w:p>
      <w:pPr>
        <w:pStyle w:val="BodyText"/>
        <w:rPr>
          <w:color w:val="000000"/>
          <w:lang w:val="en-CA" w:eastAsia="en-CA"/>
        </w:rPr>
      </w:pPr>
      <w:r>
        <w:rPr>
          <w:color w:val="000000"/>
          <w:lang w:val="en-CA" w:eastAsia="en-CA"/>
        </w:rPr>
      </w:r>
    </w:p>
    <w:p>
      <w:pPr>
        <w:pStyle w:val="TOC2"/>
        <w:numPr>
          <w:ilvl w:val="0"/>
          <w:numId w:val="14"/>
        </w:numPr>
        <w:ind w:hanging="0" w:start="0"/>
        <w:rPr>
          <w:rFonts w:eastAsia="Times New Roman"/>
          <w:caps w:val="false"/>
          <w:smallCaps w:val="false"/>
          <w:color w:val="000000"/>
          <w:lang w:val="en-CA" w:eastAsia="en-CA"/>
        </w:rPr>
      </w:pPr>
      <w:bookmarkStart w:id="89" w:name="_DV_M55"/>
      <w:bookmarkEnd w:id="89"/>
      <w:r>
        <w:rPr>
          <w:color w:val="000000"/>
          <w:lang w:val="en-CA" w:eastAsia="en-CA"/>
        </w:rPr>
        <w:t>ARTICLE 9.  Consent To Assignment.</w:t>
        <w:tab/>
      </w:r>
      <w:r>
        <w:rPr>
          <w:lang w:val="en-CA" w:eastAsia="en-CA"/>
        </w:rPr>
        <w:fldChar w:fldCharType="begin"/>
      </w:r>
      <w:r>
        <w:rPr>
          <w:lang w:val="en-CA" w:eastAsia="en-CA"/>
        </w:rPr>
        <w:instrText xml:space="preserve"> PAGEREF __RefHeading___Toc490591585 \h </w:instrText>
      </w:r>
      <w:r>
        <w:rPr>
          <w:lang w:val="en-CA" w:eastAsia="en-CA"/>
        </w:rPr>
        <w:fldChar w:fldCharType="separate"/>
      </w:r>
      <w:r>
        <w:rPr>
          <w:lang w:val="en-CA" w:eastAsia="en-CA"/>
        </w:rPr>
        <w:t>33</w:t>
      </w:r>
      <w:r>
        <w:rPr>
          <w:lang w:val="en-CA" w:eastAsia="en-CA"/>
        </w:rPr>
        <w:fldChar w:fldCharType="end"/>
      </w:r>
    </w:p>
    <w:p>
      <w:pPr>
        <w:pStyle w:val="TOC3"/>
        <w:tabs>
          <w:tab w:val="left" w:pos="1440" w:leader="none"/>
          <w:tab w:val="right" w:pos="8309" w:leader="dot"/>
        </w:tabs>
        <w:rPr>
          <w:rFonts w:eastAsia="Times New Roman"/>
          <w:color w:val="000000"/>
          <w:lang w:val="en-CA" w:eastAsia="en-CA"/>
        </w:rPr>
      </w:pPr>
      <w:bookmarkStart w:id="90" w:name="_DV_M56"/>
      <w:bookmarkEnd w:id="90"/>
      <w:r>
        <w:rPr>
          <w:color w:val="000000"/>
          <w:lang w:val="en-CA" w:eastAsia="en-CA"/>
        </w:rPr>
        <w:t>9.1</w:t>
      </w:r>
      <w:r>
        <w:rPr>
          <w:rFonts w:eastAsia="Times New Roman"/>
          <w:color w:val="000000"/>
          <w:lang w:val="en-CA" w:eastAsia="en-CA"/>
        </w:rPr>
        <w:tab/>
      </w:r>
      <w:r>
        <w:rPr>
          <w:color w:val="000000"/>
          <w:lang w:val="en-CA" w:eastAsia="en-CA"/>
        </w:rPr>
        <w:t>Deposits in Offshore Funding Accounts.</w:t>
        <w:tab/>
      </w:r>
      <w:r>
        <w:rPr>
          <w:lang w:val="en-CA" w:eastAsia="en-CA"/>
        </w:rPr>
        <w:fldChar w:fldCharType="begin"/>
      </w:r>
      <w:r>
        <w:rPr>
          <w:lang w:val="en-CA" w:eastAsia="en-CA"/>
        </w:rPr>
        <w:instrText xml:space="preserve"> PAGEREF __RefHeading___Toc490591586 \h </w:instrText>
      </w:r>
      <w:r>
        <w:rPr>
          <w:lang w:val="en-CA" w:eastAsia="en-CA"/>
        </w:rPr>
        <w:fldChar w:fldCharType="separate"/>
      </w:r>
      <w:r>
        <w:rPr>
          <w:lang w:val="en-CA" w:eastAsia="en-CA"/>
        </w:rPr>
        <w:t>33</w:t>
      </w:r>
      <w:r>
        <w:rPr>
          <w:lang w:val="en-CA" w:eastAsia="en-CA"/>
        </w:rPr>
        <w:fldChar w:fldCharType="end"/>
      </w:r>
    </w:p>
    <w:p>
      <w:pPr>
        <w:pStyle w:val="TOC3"/>
        <w:tabs>
          <w:tab w:val="left" w:pos="1440" w:leader="none"/>
          <w:tab w:val="right" w:pos="8309" w:leader="dot"/>
        </w:tabs>
        <w:rPr>
          <w:color w:val="000000"/>
          <w:lang w:val="en-CA" w:eastAsia="en-CA"/>
        </w:rPr>
      </w:pPr>
      <w:bookmarkStart w:id="91" w:name="_DV_M57"/>
      <w:bookmarkEnd w:id="91"/>
      <w:r>
        <w:rPr>
          <w:color w:val="000000"/>
          <w:lang w:val="en-CA" w:eastAsia="en-CA"/>
        </w:rPr>
        <w:t>9.2</w:t>
      </w:r>
      <w:r>
        <w:rPr>
          <w:rFonts w:eastAsia="Times New Roman"/>
          <w:color w:val="000000"/>
          <w:lang w:val="en-CA" w:eastAsia="en-CA"/>
        </w:rPr>
        <w:tab/>
      </w:r>
      <w:r>
        <w:rPr>
          <w:color w:val="000000"/>
          <w:lang w:val="en-CA" w:eastAsia="en-CA"/>
        </w:rPr>
        <w:t>Confirmations.</w:t>
        <w:tab/>
      </w:r>
      <w:r>
        <w:rPr>
          <w:lang w:val="en-CA" w:eastAsia="en-CA"/>
        </w:rPr>
        <w:fldChar w:fldCharType="begin"/>
      </w:r>
      <w:r>
        <w:rPr>
          <w:lang w:val="en-CA" w:eastAsia="en-CA"/>
        </w:rPr>
        <w:instrText xml:space="preserve"> PAGEREF __RefHeading___Toc490591587 \h </w:instrText>
      </w:r>
      <w:r>
        <w:rPr>
          <w:lang w:val="en-CA" w:eastAsia="en-CA"/>
        </w:rPr>
        <w:fldChar w:fldCharType="separate"/>
      </w:r>
      <w:r>
        <w:rPr>
          <w:lang w:val="en-CA" w:eastAsia="en-CA"/>
        </w:rPr>
        <w:t>33</w:t>
      </w:r>
      <w:r>
        <w:rPr>
          <w:lang w:val="en-CA" w:eastAsia="en-CA"/>
        </w:rPr>
        <w:fldChar w:fldCharType="end"/>
      </w:r>
    </w:p>
    <w:p>
      <w:pPr>
        <w:pStyle w:val="BodyText"/>
        <w:rPr>
          <w:color w:val="000000"/>
          <w:lang w:val="en-CA" w:eastAsia="en-CA"/>
        </w:rPr>
      </w:pPr>
      <w:r>
        <w:rPr>
          <w:color w:val="000000"/>
          <w:lang w:val="en-CA" w:eastAsia="en-CA"/>
        </w:rPr>
      </w:r>
    </w:p>
    <w:p>
      <w:pPr>
        <w:pStyle w:val="TOC2"/>
        <w:numPr>
          <w:ilvl w:val="0"/>
          <w:numId w:val="14"/>
        </w:numPr>
        <w:ind w:hanging="0" w:start="0"/>
        <w:rPr>
          <w:rFonts w:eastAsia="Times New Roman"/>
          <w:caps w:val="false"/>
          <w:smallCaps w:val="false"/>
          <w:color w:val="000000"/>
          <w:lang w:val="en-CA" w:eastAsia="en-CA"/>
        </w:rPr>
      </w:pPr>
      <w:bookmarkStart w:id="92" w:name="_DV_M58"/>
      <w:bookmarkEnd w:id="92"/>
      <w:r>
        <w:rPr>
          <w:color w:val="000000"/>
          <w:lang w:val="en-CA" w:eastAsia="en-CA"/>
        </w:rPr>
        <w:t>ARTICLE 10.  Miscellaneous.</w:t>
        <w:tab/>
      </w:r>
      <w:r>
        <w:rPr>
          <w:lang w:val="en-CA" w:eastAsia="en-CA"/>
        </w:rPr>
        <w:fldChar w:fldCharType="begin"/>
      </w:r>
      <w:r>
        <w:rPr>
          <w:lang w:val="en-CA" w:eastAsia="en-CA"/>
        </w:rPr>
        <w:instrText xml:space="preserve"> PAGEREF __RefHeading___Toc490591588 \h </w:instrText>
      </w:r>
      <w:r>
        <w:rPr>
          <w:lang w:val="en-CA" w:eastAsia="en-CA"/>
        </w:rPr>
        <w:fldChar w:fldCharType="separate"/>
      </w:r>
      <w:r>
        <w:rPr>
          <w:lang w:val="en-CA" w:eastAsia="en-CA"/>
        </w:rPr>
        <w:t>34</w:t>
      </w:r>
      <w:r>
        <w:rPr>
          <w:lang w:val="en-CA" w:eastAsia="en-CA"/>
        </w:rPr>
        <w:fldChar w:fldCharType="end"/>
      </w:r>
    </w:p>
    <w:p>
      <w:pPr>
        <w:pStyle w:val="TOC3"/>
        <w:tabs>
          <w:tab w:val="left" w:pos="1440" w:leader="none"/>
          <w:tab w:val="right" w:pos="8309" w:leader="dot"/>
        </w:tabs>
        <w:rPr>
          <w:rFonts w:eastAsia="Times New Roman"/>
          <w:color w:val="000000"/>
          <w:lang w:val="en-CA" w:eastAsia="en-CA"/>
        </w:rPr>
      </w:pPr>
      <w:bookmarkStart w:id="93" w:name="_DV_M59"/>
      <w:bookmarkEnd w:id="93"/>
      <w:r>
        <w:rPr>
          <w:color w:val="000000"/>
          <w:lang w:val="en-CA" w:eastAsia="en-CA"/>
        </w:rPr>
        <w:t>10.1</w:t>
      </w:r>
      <w:r>
        <w:rPr>
          <w:rFonts w:eastAsia="Times New Roman"/>
          <w:color w:val="000000"/>
          <w:lang w:val="en-CA" w:eastAsia="en-CA"/>
        </w:rPr>
        <w:tab/>
      </w:r>
      <w:r>
        <w:rPr>
          <w:color w:val="000000"/>
          <w:lang w:val="en-CA" w:eastAsia="en-CA"/>
        </w:rPr>
        <w:t>No Waiver.</w:t>
        <w:tab/>
      </w:r>
      <w:r>
        <w:rPr>
          <w:lang w:val="en-CA" w:eastAsia="en-CA"/>
        </w:rPr>
        <w:fldChar w:fldCharType="begin"/>
      </w:r>
      <w:r>
        <w:rPr>
          <w:lang w:val="en-CA" w:eastAsia="en-CA"/>
        </w:rPr>
        <w:instrText xml:space="preserve"> PAGEREF __RefHeading___Toc490591589 \h </w:instrText>
      </w:r>
      <w:r>
        <w:rPr>
          <w:lang w:val="en-CA" w:eastAsia="en-CA"/>
        </w:rPr>
        <w:fldChar w:fldCharType="separate"/>
      </w:r>
      <w:r>
        <w:rPr>
          <w:lang w:val="en-CA" w:eastAsia="en-CA"/>
        </w:rPr>
        <w:t>34</w:t>
      </w:r>
      <w:r>
        <w:rPr>
          <w:lang w:val="en-CA" w:eastAsia="en-CA"/>
        </w:rPr>
        <w:fldChar w:fldCharType="end"/>
      </w:r>
    </w:p>
    <w:p>
      <w:pPr>
        <w:pStyle w:val="TOC3"/>
        <w:tabs>
          <w:tab w:val="left" w:pos="1440" w:leader="none"/>
          <w:tab w:val="right" w:pos="8309" w:leader="dot"/>
        </w:tabs>
        <w:rPr>
          <w:rFonts w:eastAsia="Times New Roman"/>
          <w:color w:val="000000"/>
          <w:lang w:val="en-CA" w:eastAsia="en-CA"/>
        </w:rPr>
      </w:pPr>
      <w:bookmarkStart w:id="94" w:name="_DV_M60"/>
      <w:bookmarkEnd w:id="94"/>
      <w:r>
        <w:rPr>
          <w:color w:val="000000"/>
          <w:lang w:val="en-CA" w:eastAsia="en-CA"/>
        </w:rPr>
        <w:t>10.2</w:t>
      </w:r>
      <w:r>
        <w:rPr>
          <w:rFonts w:eastAsia="Times New Roman"/>
          <w:color w:val="000000"/>
          <w:lang w:val="en-CA" w:eastAsia="en-CA"/>
        </w:rPr>
        <w:tab/>
      </w:r>
      <w:r>
        <w:rPr>
          <w:color w:val="000000"/>
          <w:lang w:val="en-CA" w:eastAsia="en-CA"/>
        </w:rPr>
        <w:t>Termination.</w:t>
        <w:tab/>
      </w:r>
      <w:r>
        <w:rPr>
          <w:lang w:val="en-CA" w:eastAsia="en-CA"/>
        </w:rPr>
        <w:fldChar w:fldCharType="begin"/>
      </w:r>
      <w:r>
        <w:rPr>
          <w:lang w:val="en-CA" w:eastAsia="en-CA"/>
        </w:rPr>
        <w:instrText xml:space="preserve"> PAGEREF __RefHeading___Toc490591590 \h </w:instrText>
      </w:r>
      <w:r>
        <w:rPr>
          <w:lang w:val="en-CA" w:eastAsia="en-CA"/>
        </w:rPr>
        <w:fldChar w:fldCharType="separate"/>
      </w:r>
      <w:r>
        <w:rPr>
          <w:lang w:val="en-CA" w:eastAsia="en-CA"/>
        </w:rPr>
        <w:t>34</w:t>
      </w:r>
      <w:r>
        <w:rPr>
          <w:lang w:val="en-CA" w:eastAsia="en-CA"/>
        </w:rPr>
        <w:fldChar w:fldCharType="end"/>
      </w:r>
    </w:p>
    <w:p>
      <w:pPr>
        <w:pStyle w:val="TOC3"/>
        <w:tabs>
          <w:tab w:val="left" w:pos="1440" w:leader="none"/>
          <w:tab w:val="right" w:pos="8309" w:leader="dot"/>
        </w:tabs>
        <w:rPr>
          <w:rFonts w:eastAsia="Times New Roman"/>
          <w:color w:val="000000"/>
          <w:lang w:val="en-CA" w:eastAsia="en-CA"/>
        </w:rPr>
      </w:pPr>
      <w:bookmarkStart w:id="95" w:name="_DV_M61"/>
      <w:bookmarkEnd w:id="95"/>
      <w:r>
        <w:rPr>
          <w:color w:val="000000"/>
          <w:lang w:val="en-CA" w:eastAsia="en-CA"/>
        </w:rPr>
        <w:t>10.3</w:t>
      </w:r>
      <w:r>
        <w:rPr>
          <w:rFonts w:eastAsia="Times New Roman"/>
          <w:color w:val="000000"/>
          <w:lang w:val="en-CA" w:eastAsia="en-CA"/>
        </w:rPr>
        <w:tab/>
      </w:r>
      <w:r>
        <w:rPr>
          <w:color w:val="000000"/>
          <w:lang w:val="en-CA" w:eastAsia="en-CA"/>
        </w:rPr>
        <w:t>Notices.</w:t>
        <w:tab/>
      </w:r>
      <w:r>
        <w:rPr>
          <w:lang w:val="en-CA" w:eastAsia="en-CA"/>
        </w:rPr>
        <w:fldChar w:fldCharType="begin"/>
      </w:r>
      <w:r>
        <w:rPr>
          <w:lang w:val="en-CA" w:eastAsia="en-CA"/>
        </w:rPr>
        <w:instrText xml:space="preserve"> PAGEREF __RefHeading___Toc490591591 \h </w:instrText>
      </w:r>
      <w:r>
        <w:rPr>
          <w:lang w:val="en-CA" w:eastAsia="en-CA"/>
        </w:rPr>
        <w:fldChar w:fldCharType="separate"/>
      </w:r>
      <w:r>
        <w:rPr>
          <w:lang w:val="en-CA" w:eastAsia="en-CA"/>
        </w:rPr>
        <w:t>35</w:t>
      </w:r>
      <w:r>
        <w:rPr>
          <w:lang w:val="en-CA" w:eastAsia="en-CA"/>
        </w:rPr>
        <w:fldChar w:fldCharType="end"/>
      </w:r>
    </w:p>
    <w:p>
      <w:pPr>
        <w:pStyle w:val="TOC3"/>
        <w:tabs>
          <w:tab w:val="left" w:pos="1440" w:leader="none"/>
          <w:tab w:val="right" w:pos="8309" w:leader="dot"/>
        </w:tabs>
        <w:rPr>
          <w:rFonts w:eastAsia="Times New Roman"/>
          <w:color w:val="000000"/>
          <w:lang w:val="en-CA" w:eastAsia="en-CA"/>
        </w:rPr>
      </w:pPr>
      <w:bookmarkStart w:id="96" w:name="_DV_M62"/>
      <w:bookmarkEnd w:id="96"/>
      <w:r>
        <w:rPr>
          <w:color w:val="000000"/>
          <w:lang w:val="en-CA" w:eastAsia="en-CA"/>
        </w:rPr>
        <w:t>10.4</w:t>
      </w:r>
      <w:r>
        <w:rPr>
          <w:rFonts w:eastAsia="Times New Roman"/>
          <w:color w:val="000000"/>
          <w:lang w:val="en-CA" w:eastAsia="en-CA"/>
        </w:rPr>
        <w:tab/>
      </w:r>
      <w:r>
        <w:rPr>
          <w:color w:val="000000"/>
          <w:lang w:val="en-CA" w:eastAsia="en-CA"/>
        </w:rPr>
        <w:t>Successors and Assigns.</w:t>
        <w:tab/>
      </w:r>
      <w:r>
        <w:rPr>
          <w:lang w:val="en-CA" w:eastAsia="en-CA"/>
        </w:rPr>
        <w:fldChar w:fldCharType="begin"/>
      </w:r>
      <w:r>
        <w:rPr>
          <w:lang w:val="en-CA" w:eastAsia="en-CA"/>
        </w:rPr>
        <w:instrText xml:space="preserve"> PAGEREF __RefHeading___Toc490591592 \h </w:instrText>
      </w:r>
      <w:r>
        <w:rPr>
          <w:lang w:val="en-CA" w:eastAsia="en-CA"/>
        </w:rPr>
        <w:fldChar w:fldCharType="separate"/>
      </w:r>
      <w:r>
        <w:rPr>
          <w:lang w:val="en-CA" w:eastAsia="en-CA"/>
        </w:rPr>
        <w:t>38</w:t>
      </w:r>
      <w:r>
        <w:rPr>
          <w:lang w:val="en-CA" w:eastAsia="en-CA"/>
        </w:rPr>
        <w:fldChar w:fldCharType="end"/>
      </w:r>
    </w:p>
    <w:p>
      <w:pPr>
        <w:pStyle w:val="TOC3"/>
        <w:tabs>
          <w:tab w:val="left" w:pos="1440" w:leader="none"/>
          <w:tab w:val="right" w:pos="8309" w:leader="dot"/>
        </w:tabs>
        <w:rPr>
          <w:rFonts w:eastAsia="Times New Roman"/>
          <w:color w:val="000000"/>
          <w:lang w:val="en-CA" w:eastAsia="en-CA"/>
        </w:rPr>
      </w:pPr>
      <w:bookmarkStart w:id="97" w:name="_DV_M63"/>
      <w:bookmarkEnd w:id="97"/>
      <w:r>
        <w:rPr>
          <w:color w:val="000000"/>
          <w:lang w:val="en-CA" w:eastAsia="en-CA"/>
        </w:rPr>
        <w:t>10.5</w:t>
      </w:r>
      <w:r>
        <w:rPr>
          <w:rFonts w:eastAsia="Times New Roman"/>
          <w:color w:val="000000"/>
          <w:lang w:val="en-CA" w:eastAsia="en-CA"/>
        </w:rPr>
        <w:tab/>
      </w:r>
      <w:r>
        <w:rPr>
          <w:color w:val="000000"/>
          <w:lang w:val="en-CA" w:eastAsia="en-CA"/>
        </w:rPr>
        <w:t>Amendments, Etc.</w:t>
        <w:tab/>
      </w:r>
      <w:r>
        <w:rPr>
          <w:lang w:val="en-CA" w:eastAsia="en-CA"/>
        </w:rPr>
        <w:fldChar w:fldCharType="begin"/>
      </w:r>
      <w:r>
        <w:rPr>
          <w:lang w:val="en-CA" w:eastAsia="en-CA"/>
        </w:rPr>
        <w:instrText xml:space="preserve"> PAGEREF __RefHeading___Toc490591593 \h </w:instrText>
      </w:r>
      <w:r>
        <w:rPr>
          <w:lang w:val="en-CA" w:eastAsia="en-CA"/>
        </w:rPr>
        <w:fldChar w:fldCharType="separate"/>
      </w:r>
      <w:r>
        <w:rPr>
          <w:lang w:val="en-CA" w:eastAsia="en-CA"/>
        </w:rPr>
        <w:t>38</w:t>
      </w:r>
      <w:r>
        <w:rPr>
          <w:lang w:val="en-CA" w:eastAsia="en-CA"/>
        </w:rPr>
        <w:fldChar w:fldCharType="end"/>
      </w:r>
    </w:p>
    <w:p>
      <w:pPr>
        <w:pStyle w:val="TOC3"/>
        <w:tabs>
          <w:tab w:val="left" w:pos="1440" w:leader="none"/>
          <w:tab w:val="right" w:pos="8309" w:leader="dot"/>
        </w:tabs>
        <w:rPr>
          <w:rFonts w:eastAsia="Times New Roman"/>
          <w:color w:val="000000"/>
          <w:lang w:val="en-CA" w:eastAsia="en-CA"/>
        </w:rPr>
      </w:pPr>
      <w:bookmarkStart w:id="98" w:name="_DV_M64"/>
      <w:bookmarkEnd w:id="98"/>
      <w:r>
        <w:rPr>
          <w:color w:val="000000"/>
          <w:lang w:val="en-CA" w:eastAsia="en-CA"/>
        </w:rPr>
        <w:t>10.6</w:t>
      </w:r>
      <w:r>
        <w:rPr>
          <w:rFonts w:eastAsia="Times New Roman"/>
          <w:color w:val="000000"/>
          <w:lang w:val="en-CA" w:eastAsia="en-CA"/>
        </w:rPr>
        <w:tab/>
      </w:r>
      <w:r>
        <w:rPr>
          <w:color w:val="000000"/>
          <w:lang w:val="en-CA" w:eastAsia="en-CA"/>
        </w:rPr>
        <w:t>Remedies.</w:t>
        <w:tab/>
      </w:r>
      <w:r>
        <w:rPr>
          <w:lang w:val="en-CA" w:eastAsia="en-CA"/>
        </w:rPr>
        <w:fldChar w:fldCharType="begin"/>
      </w:r>
      <w:r>
        <w:rPr>
          <w:lang w:val="en-CA" w:eastAsia="en-CA"/>
        </w:rPr>
        <w:instrText xml:space="preserve"> PAGEREF __RefHeading___Toc490591594 \h </w:instrText>
      </w:r>
      <w:r>
        <w:rPr>
          <w:lang w:val="en-CA" w:eastAsia="en-CA"/>
        </w:rPr>
        <w:fldChar w:fldCharType="separate"/>
      </w:r>
      <w:r>
        <w:rPr>
          <w:lang w:val="en-CA" w:eastAsia="en-CA"/>
        </w:rPr>
        <w:t>39</w:t>
      </w:r>
      <w:r>
        <w:rPr>
          <w:lang w:val="en-CA" w:eastAsia="en-CA"/>
        </w:rPr>
        <w:fldChar w:fldCharType="end"/>
      </w:r>
    </w:p>
    <w:p>
      <w:pPr>
        <w:pStyle w:val="TOC3"/>
        <w:tabs>
          <w:tab w:val="left" w:pos="1440" w:leader="none"/>
          <w:tab w:val="right" w:pos="8309" w:leader="dot"/>
        </w:tabs>
        <w:rPr>
          <w:rFonts w:eastAsia="Times New Roman"/>
          <w:color w:val="000000"/>
          <w:lang w:val="en-CA" w:eastAsia="en-CA"/>
        </w:rPr>
      </w:pPr>
      <w:bookmarkStart w:id="99" w:name="_DV_M65"/>
      <w:bookmarkEnd w:id="99"/>
      <w:r>
        <w:rPr>
          <w:color w:val="000000"/>
          <w:lang w:val="en-CA" w:eastAsia="en-CA"/>
        </w:rPr>
        <w:t>10.7</w:t>
      </w:r>
      <w:r>
        <w:rPr>
          <w:rFonts w:eastAsia="Times New Roman"/>
          <w:color w:val="000000"/>
          <w:lang w:val="en-CA" w:eastAsia="en-CA"/>
        </w:rPr>
        <w:tab/>
      </w:r>
      <w:r>
        <w:rPr>
          <w:color w:val="000000"/>
          <w:lang w:val="en-CA" w:eastAsia="en-CA"/>
        </w:rPr>
        <w:t>Headings.</w:t>
        <w:tab/>
      </w:r>
      <w:r>
        <w:rPr>
          <w:lang w:val="en-CA" w:eastAsia="en-CA"/>
        </w:rPr>
        <w:fldChar w:fldCharType="begin"/>
      </w:r>
      <w:r>
        <w:rPr>
          <w:lang w:val="en-CA" w:eastAsia="en-CA"/>
        </w:rPr>
        <w:instrText xml:space="preserve"> PAGEREF __RefHeading___Toc490591595 \h </w:instrText>
      </w:r>
      <w:r>
        <w:rPr>
          <w:lang w:val="en-CA" w:eastAsia="en-CA"/>
        </w:rPr>
        <w:fldChar w:fldCharType="separate"/>
      </w:r>
      <w:r>
        <w:rPr>
          <w:lang w:val="en-CA" w:eastAsia="en-CA"/>
        </w:rPr>
        <w:t>39</w:t>
      </w:r>
      <w:r>
        <w:rPr>
          <w:lang w:val="en-CA" w:eastAsia="en-CA"/>
        </w:rPr>
        <w:fldChar w:fldCharType="end"/>
      </w:r>
    </w:p>
    <w:p>
      <w:pPr>
        <w:pStyle w:val="TOC3"/>
        <w:tabs>
          <w:tab w:val="left" w:pos="1440" w:leader="none"/>
          <w:tab w:val="right" w:pos="8309" w:leader="dot"/>
        </w:tabs>
        <w:rPr>
          <w:rFonts w:eastAsia="Times New Roman"/>
          <w:color w:val="000000"/>
          <w:lang w:val="en-CA" w:eastAsia="en-CA"/>
        </w:rPr>
      </w:pPr>
      <w:bookmarkStart w:id="100" w:name="_DV_M66"/>
      <w:bookmarkEnd w:id="100"/>
      <w:r>
        <w:rPr>
          <w:color w:val="000000"/>
          <w:lang w:val="en-CA" w:eastAsia="en-CA"/>
        </w:rPr>
        <w:t>10.8</w:t>
      </w:r>
      <w:r>
        <w:rPr>
          <w:rFonts w:eastAsia="Times New Roman"/>
          <w:color w:val="000000"/>
          <w:lang w:val="en-CA" w:eastAsia="en-CA"/>
        </w:rPr>
        <w:tab/>
      </w:r>
      <w:r>
        <w:rPr>
          <w:color w:val="000000"/>
          <w:lang w:val="en-CA" w:eastAsia="en-CA"/>
        </w:rPr>
        <w:t>Governing Law.</w:t>
        <w:tab/>
      </w:r>
      <w:r>
        <w:rPr>
          <w:lang w:val="en-CA" w:eastAsia="en-CA"/>
        </w:rPr>
        <w:fldChar w:fldCharType="begin"/>
      </w:r>
      <w:r>
        <w:rPr>
          <w:lang w:val="en-CA" w:eastAsia="en-CA"/>
        </w:rPr>
        <w:instrText xml:space="preserve"> PAGEREF __RefHeading___Toc490591596 \h </w:instrText>
      </w:r>
      <w:r>
        <w:rPr>
          <w:lang w:val="en-CA" w:eastAsia="en-CA"/>
        </w:rPr>
        <w:fldChar w:fldCharType="separate"/>
      </w:r>
      <w:r>
        <w:rPr>
          <w:lang w:val="en-CA" w:eastAsia="en-CA"/>
        </w:rPr>
        <w:t>39</w:t>
      </w:r>
      <w:r>
        <w:rPr>
          <w:lang w:val="en-CA" w:eastAsia="en-CA"/>
        </w:rPr>
        <w:fldChar w:fldCharType="end"/>
      </w:r>
    </w:p>
    <w:p>
      <w:pPr>
        <w:pStyle w:val="TOC3"/>
        <w:tabs>
          <w:tab w:val="left" w:pos="1440" w:leader="none"/>
          <w:tab w:val="right" w:pos="8309" w:leader="dot"/>
        </w:tabs>
        <w:rPr>
          <w:rFonts w:eastAsia="Times New Roman"/>
          <w:color w:val="000000"/>
          <w:lang w:val="en-CA" w:eastAsia="en-CA"/>
        </w:rPr>
      </w:pPr>
      <w:bookmarkStart w:id="101" w:name="_DV_M67"/>
      <w:bookmarkEnd w:id="101"/>
      <w:r>
        <w:rPr>
          <w:color w:val="000000"/>
          <w:lang w:val="en-CA" w:eastAsia="en-CA"/>
        </w:rPr>
        <w:t>10.9</w:t>
      </w:r>
      <w:r>
        <w:rPr>
          <w:rFonts w:eastAsia="Times New Roman"/>
          <w:color w:val="000000"/>
          <w:lang w:val="en-CA" w:eastAsia="en-CA"/>
        </w:rPr>
        <w:tab/>
      </w:r>
      <w:r>
        <w:rPr>
          <w:color w:val="000000"/>
          <w:lang w:val="en-CA" w:eastAsia="en-CA"/>
        </w:rPr>
        <w:t>Consent to Jurisdiction.</w:t>
        <w:tab/>
      </w:r>
      <w:r>
        <w:rPr>
          <w:lang w:val="en-CA" w:eastAsia="en-CA"/>
        </w:rPr>
        <w:fldChar w:fldCharType="begin"/>
      </w:r>
      <w:r>
        <w:rPr>
          <w:lang w:val="en-CA" w:eastAsia="en-CA"/>
        </w:rPr>
        <w:instrText xml:space="preserve"> PAGEREF __RefHeading___Toc490591597 \h </w:instrText>
      </w:r>
      <w:r>
        <w:rPr>
          <w:lang w:val="en-CA" w:eastAsia="en-CA"/>
        </w:rPr>
        <w:fldChar w:fldCharType="separate"/>
      </w:r>
      <w:r>
        <w:rPr>
          <w:lang w:val="en-CA" w:eastAsia="en-CA"/>
        </w:rPr>
        <w:t>40</w:t>
      </w:r>
      <w:r>
        <w:rPr>
          <w:lang w:val="en-CA" w:eastAsia="en-CA"/>
        </w:rPr>
        <w:fldChar w:fldCharType="end"/>
      </w:r>
    </w:p>
    <w:p>
      <w:pPr>
        <w:pStyle w:val="TOC3"/>
        <w:tabs>
          <w:tab w:val="left" w:pos="1440" w:leader="none"/>
          <w:tab w:val="right" w:pos="8309" w:leader="dot"/>
        </w:tabs>
        <w:rPr>
          <w:rFonts w:eastAsia="Times New Roman"/>
          <w:color w:val="000000"/>
          <w:lang w:val="en-CA" w:eastAsia="en-CA"/>
        </w:rPr>
      </w:pPr>
      <w:bookmarkStart w:id="102" w:name="_DV_M68"/>
      <w:bookmarkEnd w:id="102"/>
      <w:r>
        <w:rPr>
          <w:color w:val="000000"/>
          <w:lang w:val="en-CA" w:eastAsia="en-CA"/>
        </w:rPr>
        <w:t>10.10</w:t>
      </w:r>
      <w:r>
        <w:rPr>
          <w:rFonts w:eastAsia="Times New Roman"/>
          <w:color w:val="000000"/>
          <w:lang w:val="en-CA" w:eastAsia="en-CA"/>
        </w:rPr>
        <w:tab/>
      </w:r>
      <w:r>
        <w:rPr>
          <w:color w:val="000000"/>
          <w:lang w:val="en-CA" w:eastAsia="en-CA"/>
        </w:rPr>
        <w:t>Appointment Of Process Agent.</w:t>
        <w:tab/>
      </w:r>
      <w:r>
        <w:rPr>
          <w:lang w:val="en-CA" w:eastAsia="en-CA"/>
        </w:rPr>
        <w:fldChar w:fldCharType="begin"/>
      </w:r>
      <w:r>
        <w:rPr>
          <w:lang w:val="en-CA" w:eastAsia="en-CA"/>
        </w:rPr>
        <w:instrText xml:space="preserve"> PAGEREF __RefHeading___Toc490591598 \h </w:instrText>
      </w:r>
      <w:r>
        <w:rPr>
          <w:lang w:val="en-CA" w:eastAsia="en-CA"/>
        </w:rPr>
        <w:fldChar w:fldCharType="separate"/>
      </w:r>
      <w:r>
        <w:rPr>
          <w:lang w:val="en-CA" w:eastAsia="en-CA"/>
        </w:rPr>
        <w:t>40</w:t>
      </w:r>
      <w:r>
        <w:rPr>
          <w:lang w:val="en-CA" w:eastAsia="en-CA"/>
        </w:rPr>
        <w:fldChar w:fldCharType="end"/>
      </w:r>
    </w:p>
    <w:p>
      <w:pPr>
        <w:pStyle w:val="TOC3"/>
        <w:tabs>
          <w:tab w:val="left" w:pos="1440" w:leader="none"/>
          <w:tab w:val="right" w:pos="8309" w:leader="dot"/>
        </w:tabs>
        <w:rPr>
          <w:rFonts w:eastAsia="Times New Roman"/>
          <w:color w:val="000000"/>
          <w:lang w:val="en-CA" w:eastAsia="en-CA"/>
        </w:rPr>
      </w:pPr>
      <w:bookmarkStart w:id="103" w:name="_DV_M69"/>
      <w:bookmarkEnd w:id="103"/>
      <w:r>
        <w:rPr>
          <w:color w:val="000000"/>
          <w:lang w:val="en-CA" w:eastAsia="en-CA"/>
        </w:rPr>
        <w:t>10.11</w:t>
      </w:r>
      <w:r>
        <w:rPr>
          <w:rFonts w:eastAsia="Times New Roman"/>
          <w:color w:val="000000"/>
          <w:lang w:val="en-CA" w:eastAsia="en-CA"/>
        </w:rPr>
        <w:tab/>
      </w:r>
      <w:r>
        <w:rPr>
          <w:color w:val="000000"/>
          <w:lang w:val="en-CA" w:eastAsia="en-CA"/>
        </w:rPr>
        <w:t>Indemnity.</w:t>
        <w:tab/>
      </w:r>
      <w:r>
        <w:rPr>
          <w:lang w:val="en-CA" w:eastAsia="en-CA"/>
        </w:rPr>
        <w:fldChar w:fldCharType="begin"/>
      </w:r>
      <w:r>
        <w:rPr>
          <w:lang w:val="en-CA" w:eastAsia="en-CA"/>
        </w:rPr>
        <w:instrText xml:space="preserve"> PAGEREF __RefHeading___Toc490591599 \h </w:instrText>
      </w:r>
      <w:r>
        <w:rPr>
          <w:lang w:val="en-CA" w:eastAsia="en-CA"/>
        </w:rPr>
        <w:fldChar w:fldCharType="separate"/>
      </w:r>
      <w:r>
        <w:rPr>
          <w:lang w:val="en-CA" w:eastAsia="en-CA"/>
        </w:rPr>
        <w:t>40</w:t>
      </w:r>
      <w:r>
        <w:rPr>
          <w:lang w:val="en-CA" w:eastAsia="en-CA"/>
        </w:rPr>
        <w:fldChar w:fldCharType="end"/>
      </w:r>
    </w:p>
    <w:p>
      <w:pPr>
        <w:pStyle w:val="TOC3"/>
        <w:tabs>
          <w:tab w:val="left" w:pos="1440" w:leader="none"/>
          <w:tab w:val="right" w:pos="8309" w:leader="dot"/>
        </w:tabs>
        <w:rPr>
          <w:rFonts w:eastAsia="Times New Roman"/>
          <w:color w:val="000000"/>
          <w:lang w:val="en-CA" w:eastAsia="en-CA"/>
        </w:rPr>
      </w:pPr>
      <w:bookmarkStart w:id="104" w:name="_DV_M70"/>
      <w:bookmarkEnd w:id="104"/>
      <w:r>
        <w:rPr>
          <w:color w:val="000000"/>
          <w:lang w:val="en-CA" w:eastAsia="en-CA"/>
        </w:rPr>
        <w:t>10.12</w:t>
      </w:r>
      <w:r>
        <w:rPr>
          <w:rFonts w:eastAsia="Times New Roman"/>
          <w:color w:val="000000"/>
          <w:lang w:val="en-CA" w:eastAsia="en-CA"/>
        </w:rPr>
        <w:tab/>
      </w:r>
      <w:r>
        <w:rPr>
          <w:color w:val="000000"/>
          <w:lang w:val="en-CA" w:eastAsia="en-CA"/>
        </w:rPr>
        <w:t>Waiver of Litigation Payment.</w:t>
        <w:tab/>
      </w:r>
      <w:r>
        <w:rPr>
          <w:lang w:val="en-CA" w:eastAsia="en-CA"/>
        </w:rPr>
        <w:fldChar w:fldCharType="begin"/>
      </w:r>
      <w:r>
        <w:rPr>
          <w:lang w:val="en-CA" w:eastAsia="en-CA"/>
        </w:rPr>
        <w:instrText xml:space="preserve"> PAGEREF __RefHeading___Toc490591600 \h </w:instrText>
      </w:r>
      <w:r>
        <w:rPr>
          <w:lang w:val="en-CA" w:eastAsia="en-CA"/>
        </w:rPr>
        <w:fldChar w:fldCharType="separate"/>
      </w:r>
      <w:r>
        <w:rPr>
          <w:lang w:val="en-CA" w:eastAsia="en-CA"/>
        </w:rPr>
        <w:t>42</w:t>
      </w:r>
      <w:r>
        <w:rPr>
          <w:lang w:val="en-CA" w:eastAsia="en-CA"/>
        </w:rPr>
        <w:fldChar w:fldCharType="end"/>
      </w:r>
    </w:p>
    <w:p>
      <w:pPr>
        <w:pStyle w:val="TOC3"/>
        <w:tabs>
          <w:tab w:val="left" w:pos="1440" w:leader="none"/>
          <w:tab w:val="right" w:pos="8309" w:leader="dot"/>
        </w:tabs>
        <w:rPr>
          <w:rFonts w:eastAsia="Times New Roman"/>
          <w:color w:val="000000"/>
          <w:lang w:val="en-CA" w:eastAsia="en-CA"/>
        </w:rPr>
      </w:pPr>
      <w:bookmarkStart w:id="105" w:name="_DV_M71"/>
      <w:bookmarkEnd w:id="105"/>
      <w:r>
        <w:rPr>
          <w:color w:val="000000"/>
          <w:lang w:val="en-CA" w:eastAsia="en-CA"/>
        </w:rPr>
        <w:t>10.13</w:t>
      </w:r>
      <w:r>
        <w:rPr>
          <w:rFonts w:eastAsia="Times New Roman"/>
          <w:color w:val="000000"/>
          <w:lang w:val="en-CA" w:eastAsia="en-CA"/>
        </w:rPr>
        <w:tab/>
      </w:r>
      <w:r>
        <w:rPr>
          <w:color w:val="000000"/>
          <w:lang w:val="en-CA" w:eastAsia="en-CA"/>
        </w:rPr>
        <w:t>Counterparts.</w:t>
        <w:tab/>
      </w:r>
      <w:r>
        <w:rPr>
          <w:lang w:val="en-CA" w:eastAsia="en-CA"/>
        </w:rPr>
        <w:fldChar w:fldCharType="begin"/>
      </w:r>
      <w:r>
        <w:rPr>
          <w:lang w:val="en-CA" w:eastAsia="en-CA"/>
        </w:rPr>
        <w:instrText xml:space="preserve"> PAGEREF __RefHeading___Toc490591601 \h </w:instrText>
      </w:r>
      <w:r>
        <w:rPr>
          <w:lang w:val="en-CA" w:eastAsia="en-CA"/>
        </w:rPr>
        <w:fldChar w:fldCharType="separate"/>
      </w:r>
      <w:r>
        <w:rPr>
          <w:lang w:val="en-CA" w:eastAsia="en-CA"/>
        </w:rPr>
        <w:t>42</w:t>
      </w:r>
      <w:r>
        <w:rPr>
          <w:lang w:val="en-CA" w:eastAsia="en-CA"/>
        </w:rPr>
        <w:fldChar w:fldCharType="end"/>
      </w:r>
    </w:p>
    <w:p>
      <w:pPr>
        <w:pStyle w:val="TOC3"/>
        <w:tabs>
          <w:tab w:val="left" w:pos="1440" w:leader="none"/>
          <w:tab w:val="right" w:pos="8309" w:leader="dot"/>
        </w:tabs>
        <w:rPr>
          <w:rFonts w:eastAsia="Times New Roman"/>
          <w:color w:val="000000"/>
          <w:lang w:val="en-CA" w:eastAsia="en-CA"/>
        </w:rPr>
      </w:pPr>
      <w:bookmarkStart w:id="106" w:name="_DV_M72"/>
      <w:bookmarkEnd w:id="106"/>
      <w:r>
        <w:rPr>
          <w:color w:val="000000"/>
          <w:lang w:val="en-CA" w:eastAsia="en-CA"/>
        </w:rPr>
        <w:t>10.14</w:t>
      </w:r>
      <w:r>
        <w:rPr>
          <w:rFonts w:eastAsia="Times New Roman"/>
          <w:color w:val="000000"/>
          <w:lang w:val="en-CA" w:eastAsia="en-CA"/>
        </w:rPr>
        <w:tab/>
      </w:r>
      <w:r>
        <w:rPr>
          <w:color w:val="000000"/>
          <w:lang w:val="en-CA" w:eastAsia="en-CA"/>
        </w:rPr>
        <w:t>Severability.</w:t>
        <w:tab/>
      </w:r>
      <w:r>
        <w:rPr>
          <w:lang w:val="en-CA" w:eastAsia="en-CA"/>
        </w:rPr>
        <w:fldChar w:fldCharType="begin"/>
      </w:r>
      <w:r>
        <w:rPr>
          <w:lang w:val="en-CA" w:eastAsia="en-CA"/>
        </w:rPr>
        <w:instrText xml:space="preserve"> PAGEREF __RefHeading___Toc490591602 \h </w:instrText>
      </w:r>
      <w:r>
        <w:rPr>
          <w:lang w:val="en-CA" w:eastAsia="en-CA"/>
        </w:rPr>
        <w:fldChar w:fldCharType="separate"/>
      </w:r>
      <w:r>
        <w:rPr>
          <w:lang w:val="en-CA" w:eastAsia="en-CA"/>
        </w:rPr>
        <w:t>43</w:t>
      </w:r>
      <w:r>
        <w:rPr>
          <w:lang w:val="en-CA" w:eastAsia="en-CA"/>
        </w:rPr>
        <w:fldChar w:fldCharType="end"/>
      </w:r>
    </w:p>
    <w:p>
      <w:pPr>
        <w:pStyle w:val="TOC3"/>
        <w:tabs>
          <w:tab w:val="left" w:pos="1440" w:leader="none"/>
          <w:tab w:val="right" w:pos="8309" w:leader="dot"/>
        </w:tabs>
        <w:rPr>
          <w:rFonts w:eastAsia="Times New Roman"/>
          <w:color w:val="000000"/>
          <w:lang w:val="en-CA" w:eastAsia="en-CA"/>
        </w:rPr>
      </w:pPr>
      <w:bookmarkStart w:id="107" w:name="_DV_M73"/>
      <w:bookmarkEnd w:id="107"/>
      <w:r>
        <w:rPr>
          <w:color w:val="000000"/>
          <w:lang w:val="en-CA" w:eastAsia="en-CA"/>
        </w:rPr>
        <w:t>10.15</w:t>
      </w:r>
      <w:r>
        <w:rPr>
          <w:rFonts w:eastAsia="Times New Roman"/>
          <w:color w:val="000000"/>
          <w:lang w:val="en-CA" w:eastAsia="en-CA"/>
        </w:rPr>
        <w:tab/>
      </w:r>
      <w:r>
        <w:rPr>
          <w:color w:val="000000"/>
          <w:lang w:val="en-CA" w:eastAsia="en-CA"/>
        </w:rPr>
        <w:t>Waiver of Jury Trial.</w:t>
        <w:tab/>
      </w:r>
      <w:r>
        <w:rPr>
          <w:lang w:val="en-CA" w:eastAsia="en-CA"/>
        </w:rPr>
        <w:fldChar w:fldCharType="begin"/>
      </w:r>
      <w:r>
        <w:rPr>
          <w:lang w:val="en-CA" w:eastAsia="en-CA"/>
        </w:rPr>
        <w:instrText xml:space="preserve"> PAGEREF __RefHeading___Toc490591603 \h </w:instrText>
      </w:r>
      <w:r>
        <w:rPr>
          <w:lang w:val="en-CA" w:eastAsia="en-CA"/>
        </w:rPr>
        <w:fldChar w:fldCharType="separate"/>
      </w:r>
      <w:r>
        <w:rPr>
          <w:lang w:val="en-CA" w:eastAsia="en-CA"/>
        </w:rPr>
        <w:t>43</w:t>
      </w:r>
      <w:r>
        <w:rPr>
          <w:lang w:val="en-CA" w:eastAsia="en-CA"/>
        </w:rPr>
        <w:fldChar w:fldCharType="end"/>
      </w:r>
    </w:p>
    <w:p>
      <w:pPr>
        <w:pStyle w:val="TOC3"/>
        <w:tabs>
          <w:tab w:val="left" w:pos="1440" w:leader="none"/>
          <w:tab w:val="right" w:pos="8309" w:leader="dot"/>
        </w:tabs>
        <w:rPr>
          <w:rFonts w:eastAsia="Times New Roman"/>
          <w:color w:val="000000"/>
          <w:lang w:val="en-CA" w:eastAsia="en-CA"/>
        </w:rPr>
      </w:pPr>
      <w:bookmarkStart w:id="108" w:name="_DV_M74"/>
      <w:bookmarkEnd w:id="108"/>
      <w:r>
        <w:rPr>
          <w:color w:val="000000"/>
          <w:lang w:val="en-CA" w:eastAsia="en-CA"/>
        </w:rPr>
        <w:t>10.16</w:t>
      </w:r>
      <w:r>
        <w:rPr>
          <w:rFonts w:eastAsia="Times New Roman"/>
          <w:color w:val="000000"/>
          <w:lang w:val="en-CA" w:eastAsia="en-CA"/>
        </w:rPr>
        <w:tab/>
      </w:r>
      <w:r>
        <w:rPr>
          <w:color w:val="000000"/>
          <w:lang w:val="en-CA" w:eastAsia="en-CA"/>
        </w:rPr>
        <w:t>Agents.</w:t>
        <w:tab/>
      </w:r>
      <w:r>
        <w:rPr>
          <w:lang w:val="en-CA" w:eastAsia="en-CA"/>
        </w:rPr>
        <w:fldChar w:fldCharType="begin"/>
      </w:r>
      <w:r>
        <w:rPr>
          <w:lang w:val="en-CA" w:eastAsia="en-CA"/>
        </w:rPr>
        <w:instrText xml:space="preserve"> PAGEREF __RefHeading___Toc490591604 \h </w:instrText>
      </w:r>
      <w:r>
        <w:rPr>
          <w:lang w:val="en-CA" w:eastAsia="en-CA"/>
        </w:rPr>
        <w:fldChar w:fldCharType="separate"/>
      </w:r>
      <w:r>
        <w:rPr>
          <w:lang w:val="en-CA" w:eastAsia="en-CA"/>
        </w:rPr>
        <w:t>43</w:t>
      </w:r>
      <w:r>
        <w:rPr>
          <w:lang w:val="en-CA" w:eastAsia="en-CA"/>
        </w:rPr>
        <w:fldChar w:fldCharType="end"/>
      </w:r>
    </w:p>
    <w:p>
      <w:pPr>
        <w:pStyle w:val="TOC3"/>
        <w:tabs>
          <w:tab w:val="left" w:pos="1440" w:leader="none"/>
          <w:tab w:val="right" w:pos="8309" w:leader="dot"/>
        </w:tabs>
        <w:rPr>
          <w:rFonts w:eastAsia="Times New Roman"/>
          <w:color w:val="000000"/>
          <w:lang w:val="en-CA" w:eastAsia="en-CA"/>
        </w:rPr>
      </w:pPr>
      <w:bookmarkStart w:id="109" w:name="_DV_M75"/>
      <w:bookmarkEnd w:id="109"/>
      <w:r>
        <w:rPr>
          <w:color w:val="000000"/>
          <w:lang w:val="en-CA" w:eastAsia="en-CA"/>
        </w:rPr>
        <w:t>10.17</w:t>
      </w:r>
      <w:r>
        <w:rPr>
          <w:rFonts w:eastAsia="Times New Roman"/>
          <w:color w:val="000000"/>
          <w:lang w:val="en-CA" w:eastAsia="en-CA"/>
        </w:rPr>
        <w:tab/>
      </w:r>
      <w:r>
        <w:rPr>
          <w:color w:val="000000"/>
          <w:lang w:val="en-CA" w:eastAsia="en-CA"/>
        </w:rPr>
        <w:t>Entire Agreement.</w:t>
        <w:tab/>
      </w:r>
      <w:r>
        <w:rPr>
          <w:lang w:val="en-CA" w:eastAsia="en-CA"/>
        </w:rPr>
        <w:fldChar w:fldCharType="begin"/>
      </w:r>
      <w:r>
        <w:rPr>
          <w:lang w:val="en-CA" w:eastAsia="en-CA"/>
        </w:rPr>
        <w:instrText xml:space="preserve"> PAGEREF __RefHeading___Toc490591605 \h </w:instrText>
      </w:r>
      <w:r>
        <w:rPr>
          <w:lang w:val="en-CA" w:eastAsia="en-CA"/>
        </w:rPr>
        <w:fldChar w:fldCharType="separate"/>
      </w:r>
      <w:r>
        <w:rPr>
          <w:lang w:val="en-CA" w:eastAsia="en-CA"/>
        </w:rPr>
        <w:t>43</w:t>
      </w:r>
      <w:r>
        <w:rPr>
          <w:lang w:val="en-CA" w:eastAsia="en-CA"/>
        </w:rPr>
        <w:fldChar w:fldCharType="end"/>
      </w:r>
    </w:p>
    <w:p>
      <w:pPr>
        <w:pStyle w:val="TOC3"/>
        <w:tabs>
          <w:tab w:val="left" w:pos="1440" w:leader="none"/>
          <w:tab w:val="right" w:pos="8309" w:leader="dot"/>
        </w:tabs>
        <w:rPr>
          <w:rFonts w:eastAsia="Times New Roman"/>
          <w:color w:val="000000"/>
          <w:lang w:val="en-CA" w:eastAsia="en-CA"/>
        </w:rPr>
      </w:pPr>
      <w:bookmarkStart w:id="110" w:name="_DV_M76"/>
      <w:bookmarkEnd w:id="110"/>
      <w:r>
        <w:rPr>
          <w:color w:val="000000"/>
          <w:lang w:val="en-CA" w:eastAsia="en-CA"/>
        </w:rPr>
        <w:t>10.18</w:t>
      </w:r>
      <w:r>
        <w:rPr>
          <w:rFonts w:eastAsia="Times New Roman"/>
          <w:color w:val="000000"/>
          <w:lang w:val="en-CA" w:eastAsia="en-CA"/>
        </w:rPr>
        <w:tab/>
      </w:r>
      <w:r>
        <w:rPr>
          <w:color w:val="000000"/>
          <w:lang w:val="en-CA" w:eastAsia="en-CA"/>
        </w:rPr>
        <w:t>THIRD PARTY BENEFICIARIES.</w:t>
        <w:tab/>
      </w:r>
      <w:r>
        <w:rPr>
          <w:lang w:val="en-CA" w:eastAsia="en-CA"/>
        </w:rPr>
        <w:fldChar w:fldCharType="begin"/>
      </w:r>
      <w:r>
        <w:rPr>
          <w:lang w:val="en-CA" w:eastAsia="en-CA"/>
        </w:rPr>
        <w:instrText xml:space="preserve"> PAGEREF __RefHeading___Toc490591606 \h </w:instrText>
      </w:r>
      <w:r>
        <w:rPr>
          <w:lang w:val="en-CA" w:eastAsia="en-CA"/>
        </w:rPr>
        <w:fldChar w:fldCharType="separate"/>
      </w:r>
      <w:r>
        <w:rPr>
          <w:lang w:val="en-CA" w:eastAsia="en-CA"/>
        </w:rPr>
        <w:t>43</w:t>
      </w:r>
      <w:r>
        <w:rPr>
          <w:lang w:val="en-CA" w:eastAsia="en-CA"/>
        </w:rPr>
        <w:fldChar w:fldCharType="end"/>
      </w:r>
    </w:p>
    <w:p>
      <w:pPr>
        <w:sectPr>
          <w:headerReference w:type="default" r:id="rId8"/>
          <w:headerReference w:type="first" r:id="rId9"/>
          <w:footerReference w:type="default" r:id="rId10"/>
          <w:footerReference w:type="first" r:id="rId11"/>
          <w:type w:val="nextPage"/>
          <w:pgSz w:w="12240" w:h="15840"/>
          <w:pgMar w:left="1440" w:right="1440" w:gutter="0" w:header="720" w:top="1440" w:footer="720" w:bottom="1440"/>
          <w:pgNumType w:start="1" w:fmt="upperRoman"/>
          <w:formProt w:val="false"/>
          <w:textDirection w:val="lrTb"/>
          <w:docGrid w:type="default" w:linePitch="360" w:charSpace="0"/>
        </w:sectPr>
        <w:pStyle w:val="indexhead2"/>
        <w:tabs>
          <w:tab w:val="clear" w:pos="8301"/>
          <w:tab w:val="right" w:pos="9180" w:leader="dot"/>
        </w:tabs>
        <w:rPr>
          <w:rFonts w:eastAsia="Times New Roman"/>
          <w:color w:val="000000"/>
          <w:lang w:val="en-CA" w:eastAsia="en-CA"/>
        </w:rPr>
      </w:pPr>
      <w:r>
        <w:rPr>
          <w:rFonts w:eastAsia="Times New Roman"/>
          <w:color w:val="000000"/>
          <w:lang w:val="en-CA" w:eastAsia="en-CA"/>
        </w:rPr>
      </w:r>
    </w:p>
    <w:p>
      <w:pPr>
        <w:pStyle w:val="BodyText"/>
        <w:rPr/>
      </w:pPr>
      <w:bookmarkStart w:id="115" w:name="_DV_M77"/>
      <w:bookmarkEnd w:id="115"/>
      <w:r>
        <w:rPr>
          <w:b/>
          <w:bCs/>
          <w:color w:val="000000"/>
        </w:rPr>
        <w:t>EQUITY CONTRIBUTION AGREEMENT</w:t>
      </w:r>
      <w:r>
        <w:rPr>
          <w:color w:val="000000"/>
        </w:rPr>
        <w:t xml:space="preserve"> (the </w:t>
      </w:r>
      <w:r>
        <w:rPr>
          <w:b/>
          <w:bCs/>
          <w:i/>
          <w:iCs/>
          <w:color w:val="000000"/>
        </w:rPr>
        <w:t>Agreement</w:t>
      </w:r>
      <w:r>
        <w:rPr>
          <w:color w:val="000000"/>
        </w:rPr>
        <w:t>) dated as of  __________, 2000</w:t>
      </w:r>
    </w:p>
    <w:p>
      <w:pPr>
        <w:pStyle w:val="BodyText"/>
        <w:rPr/>
      </w:pPr>
      <w:bookmarkStart w:id="116" w:name="_DV_M78"/>
      <w:bookmarkEnd w:id="116"/>
      <w:r>
        <w:rPr>
          <w:b/>
          <w:bCs/>
          <w:smallCaps/>
          <w:color w:val="000000"/>
        </w:rPr>
        <w:t>Among</w:t>
      </w:r>
      <w:r>
        <w:rPr>
          <w:color w:val="000000"/>
        </w:rPr>
        <w:t xml:space="preserve"> EN</w:t>
      </w:r>
      <w:r>
        <w:rPr>
          <w:caps/>
          <w:color w:val="000000"/>
        </w:rPr>
        <w:t>RON DO BRAZIL HOLDINGS LTD.</w:t>
      </w:r>
      <w:r>
        <w:rPr>
          <w:color w:val="000000"/>
        </w:rPr>
        <w:t>, a Cayman Islands Company (</w:t>
      </w:r>
      <w:r>
        <w:rPr>
          <w:b/>
          <w:bCs/>
          <w:i/>
          <w:iCs/>
          <w:color w:val="000000"/>
        </w:rPr>
        <w:t>Enron Holdings</w:t>
      </w:r>
      <w:r>
        <w:rPr>
          <w:color w:val="000000"/>
        </w:rPr>
        <w:t xml:space="preserve">), </w:t>
      </w:r>
      <w:r>
        <w:rPr>
          <w:caps/>
          <w:color w:val="000000"/>
        </w:rPr>
        <w:t>SHELL CUIABÁ HOLDINGS LIMITED.</w:t>
      </w:r>
      <w:r>
        <w:rPr>
          <w:color w:val="000000"/>
        </w:rPr>
        <w:t>, a company organized and existing under the laws of Bermuda (</w:t>
      </w:r>
      <w:r>
        <w:rPr>
          <w:b/>
          <w:bCs/>
          <w:i/>
          <w:iCs/>
          <w:color w:val="000000"/>
        </w:rPr>
        <w:t>SCHL</w:t>
      </w:r>
      <w:r>
        <w:rPr>
          <w:color w:val="000000"/>
        </w:rPr>
        <w:t xml:space="preserve"> and, together with Enron Holdings, the </w:t>
      </w:r>
      <w:r>
        <w:rPr>
          <w:b/>
          <w:bCs/>
          <w:i/>
          <w:iCs/>
          <w:color w:val="000000"/>
        </w:rPr>
        <w:t>EPE Shareholders</w:t>
      </w:r>
      <w:r>
        <w:rPr>
          <w:color w:val="000000"/>
        </w:rPr>
        <w:t>),  ENRON BRAZIL POWER HOLDINGS I LTD., a company organized and existing under the laws of the Cayman Islands (</w:t>
      </w:r>
      <w:r>
        <w:rPr>
          <w:b/>
          <w:bCs/>
          <w:i/>
          <w:iCs/>
          <w:color w:val="000000"/>
        </w:rPr>
        <w:t>EBPH</w:t>
      </w:r>
      <w:r>
        <w:rPr>
          <w:color w:val="000000"/>
        </w:rPr>
        <w:t xml:space="preserve"> and, together with SCHL, the </w:t>
      </w:r>
      <w:r>
        <w:rPr>
          <w:b/>
          <w:bCs/>
          <w:i/>
          <w:iCs/>
          <w:color w:val="000000"/>
        </w:rPr>
        <w:t>GasMat Shareholders</w:t>
      </w:r>
      <w:r>
        <w:rPr>
          <w:color w:val="000000"/>
        </w:rPr>
        <w:t xml:space="preserve">), </w:t>
      </w:r>
      <w:r>
        <w:rPr>
          <w:caps/>
          <w:color w:val="000000"/>
        </w:rPr>
        <w:t>ENRON INTERNATIONAL BOLIVIA HOLDINGS LTD</w:t>
      </w:r>
      <w:r>
        <w:rPr>
          <w:color w:val="000000"/>
        </w:rPr>
        <w:t>., a company organized and existing under the laws of the Cayman Islands (</w:t>
      </w:r>
      <w:r>
        <w:rPr>
          <w:b/>
          <w:bCs/>
          <w:i/>
          <w:iCs/>
          <w:color w:val="000000"/>
        </w:rPr>
        <w:t>EIBH</w:t>
      </w:r>
      <w:r>
        <w:rPr>
          <w:color w:val="000000"/>
        </w:rPr>
        <w:t xml:space="preserve">), </w:t>
      </w:r>
      <w:r>
        <w:rPr>
          <w:caps/>
          <w:color w:val="000000"/>
        </w:rPr>
        <w:t>SHELL GAS (LATIN AMERICA) B.V</w:t>
      </w:r>
      <w:r>
        <w:rPr>
          <w:color w:val="000000"/>
        </w:rPr>
        <w:t>., a company organized and existing under the laws of The Netherlands (</w:t>
      </w:r>
      <w:r>
        <w:rPr>
          <w:b/>
          <w:bCs/>
          <w:i/>
          <w:iCs/>
          <w:color w:val="000000"/>
        </w:rPr>
        <w:t>SGLA</w:t>
      </w:r>
      <w:r>
        <w:rPr>
          <w:color w:val="000000"/>
        </w:rPr>
        <w:t xml:space="preserve"> and, together with EIBH, the </w:t>
      </w:r>
      <w:r>
        <w:rPr>
          <w:b/>
          <w:bCs/>
          <w:i/>
          <w:iCs/>
          <w:color w:val="000000"/>
        </w:rPr>
        <w:t>GasBol Shareholders</w:t>
      </w:r>
      <w:r>
        <w:rPr>
          <w:b/>
          <w:bCs/>
          <w:color w:val="000000"/>
        </w:rPr>
        <w:t xml:space="preserve"> </w:t>
      </w:r>
      <w:r>
        <w:rPr>
          <w:color w:val="000000"/>
        </w:rPr>
        <w:t xml:space="preserve">and, together with the EPE Shareholders and the GasMat Shareholders, the </w:t>
      </w:r>
      <w:r>
        <w:rPr>
          <w:b/>
          <w:bCs/>
          <w:i/>
          <w:iCs/>
          <w:color w:val="000000"/>
        </w:rPr>
        <w:t>Shareholders</w:t>
      </w:r>
      <w:r>
        <w:rPr>
          <w:color w:val="000000"/>
        </w:rPr>
        <w:t xml:space="preserve">), </w:t>
      </w:r>
      <w:r>
        <w:rPr>
          <w:caps/>
          <w:color w:val="000000"/>
        </w:rPr>
        <w:t>SHELL OVERSEAS TRADING LIMITED</w:t>
      </w:r>
      <w:r>
        <w:rPr>
          <w:color w:val="000000"/>
        </w:rPr>
        <w:t>, a company organized and existing under the laws of Bermuda (</w:t>
      </w:r>
      <w:r>
        <w:rPr>
          <w:b/>
          <w:bCs/>
          <w:i/>
          <w:iCs/>
          <w:color w:val="000000"/>
        </w:rPr>
        <w:t>SOTL</w:t>
      </w:r>
      <w:r>
        <w:rPr>
          <w:color w:val="000000"/>
        </w:rPr>
        <w:t>), GASMAT HOLDINGS LTD., a company organized and existing under the laws of the Cayman Islands (</w:t>
      </w:r>
      <w:r>
        <w:rPr>
          <w:b/>
          <w:bCs/>
          <w:i/>
          <w:iCs/>
          <w:color w:val="000000"/>
        </w:rPr>
        <w:t>GasMat Holdings</w:t>
      </w:r>
      <w:r>
        <w:rPr>
          <w:color w:val="000000"/>
        </w:rPr>
        <w:t>), GASMAT INVESTMENTS LTD., a company organized and existing under the laws of the Cayman Islands (</w:t>
      </w:r>
      <w:r>
        <w:rPr>
          <w:b/>
          <w:bCs/>
          <w:i/>
          <w:iCs/>
          <w:color w:val="000000"/>
        </w:rPr>
        <w:t>GasMat Investments</w:t>
      </w:r>
      <w:r>
        <w:rPr>
          <w:color w:val="000000"/>
        </w:rPr>
        <w:t>), ENRON CORP., a corporation organized under the laws of the State of Oregon (</w:t>
      </w:r>
      <w:r>
        <w:rPr>
          <w:b/>
          <w:bCs/>
          <w:i/>
          <w:iCs/>
          <w:color w:val="000000"/>
        </w:rPr>
        <w:t>Enron Corp.</w:t>
      </w:r>
      <w:r>
        <w:rPr>
          <w:color w:val="000000"/>
        </w:rPr>
        <w:t xml:space="preserve"> and, together with SOTL, the </w:t>
      </w:r>
      <w:r>
        <w:rPr>
          <w:b/>
          <w:bCs/>
          <w:i/>
          <w:iCs/>
          <w:color w:val="000000"/>
        </w:rPr>
        <w:t>Sponsors</w:t>
      </w:r>
      <w:r>
        <w:rPr>
          <w:color w:val="000000"/>
        </w:rPr>
        <w:t xml:space="preserve">), </w:t>
      </w:r>
      <w:r>
        <w:rPr>
          <w:smallCaps/>
          <w:color w:val="000000"/>
        </w:rPr>
        <w:t>EPE-</w:t>
      </w:r>
      <w:r>
        <w:rPr>
          <w:color w:val="000000"/>
        </w:rPr>
        <w:t xml:space="preserve">EMPRESA PRODUTORA DE ENERGIA LTDA., a </w:t>
      </w:r>
      <w:r>
        <w:rPr>
          <w:i/>
          <w:iCs/>
          <w:color w:val="000000"/>
        </w:rPr>
        <w:t>sociedade por quotas de responsabilidade limitada</w:t>
      </w:r>
      <w:r>
        <w:rPr>
          <w:color w:val="000000"/>
        </w:rPr>
        <w:t xml:space="preserve"> organized and existing under the laws of the Federative Republic of Brazil (</w:t>
      </w:r>
      <w:r>
        <w:rPr>
          <w:b/>
          <w:bCs/>
          <w:i/>
          <w:iCs/>
          <w:color w:val="000000"/>
        </w:rPr>
        <w:t>EPE</w:t>
      </w:r>
      <w:r>
        <w:rPr>
          <w:color w:val="000000"/>
        </w:rPr>
        <w:t xml:space="preserve">), GASORIENTE BOLIVIANO LTDA., a </w:t>
      </w:r>
      <w:r>
        <w:rPr>
          <w:i/>
          <w:iCs/>
          <w:color w:val="000000"/>
        </w:rPr>
        <w:t>sociedade por quotas de responsabilidad limitada</w:t>
      </w:r>
      <w:r>
        <w:rPr>
          <w:color w:val="000000"/>
        </w:rPr>
        <w:t xml:space="preserve"> organized and existing under the laws of the Republic of Bolivia (</w:t>
      </w:r>
      <w:r>
        <w:rPr>
          <w:b/>
          <w:bCs/>
          <w:i/>
          <w:iCs/>
          <w:color w:val="000000"/>
        </w:rPr>
        <w:t>GasBol</w:t>
      </w:r>
      <w:r>
        <w:rPr>
          <w:color w:val="000000"/>
        </w:rPr>
        <w:t xml:space="preserve">), GASOCIDENTE DO MATO GROSSO LTDA., a </w:t>
      </w:r>
      <w:r>
        <w:rPr>
          <w:i/>
          <w:iCs/>
          <w:color w:val="000000"/>
        </w:rPr>
        <w:t>sociedad de responsabilidade limitada</w:t>
      </w:r>
      <w:r>
        <w:rPr>
          <w:color w:val="000000"/>
        </w:rPr>
        <w:t xml:space="preserve"> organized and existing under the laws of the Federative Republic of Brazil (</w:t>
      </w:r>
      <w:r>
        <w:rPr>
          <w:b/>
          <w:bCs/>
          <w:i/>
          <w:iCs/>
          <w:color w:val="000000"/>
        </w:rPr>
        <w:t>GasMat</w:t>
      </w:r>
      <w:r>
        <w:rPr>
          <w:color w:val="000000"/>
        </w:rPr>
        <w:t xml:space="preserve"> and, together with EPE and GasBol, the </w:t>
      </w:r>
      <w:r>
        <w:rPr>
          <w:b/>
          <w:bCs/>
          <w:i/>
          <w:iCs/>
          <w:color w:val="000000"/>
        </w:rPr>
        <w:t>Borrowers</w:t>
      </w:r>
      <w:r>
        <w:rPr>
          <w:color w:val="000000"/>
        </w:rPr>
        <w:t>), EPE HOLDINGS LTD., a company organized and existing under the laws of the Cayman Islands (</w:t>
      </w:r>
      <w:r>
        <w:rPr>
          <w:b/>
          <w:bCs/>
          <w:i/>
          <w:iCs/>
          <w:color w:val="000000"/>
        </w:rPr>
        <w:t>EPE Holdings</w:t>
      </w:r>
      <w:r>
        <w:rPr>
          <w:color w:val="000000"/>
        </w:rPr>
        <w:t>), EPE INVESTMENTS LTD., a company organized and existing under the laws of the Cayman Islands (</w:t>
      </w:r>
      <w:r>
        <w:rPr>
          <w:b/>
          <w:bCs/>
          <w:i/>
          <w:iCs/>
          <w:color w:val="000000"/>
        </w:rPr>
        <w:t>EPE Investments</w:t>
      </w:r>
      <w:r>
        <w:rPr>
          <w:color w:val="000000"/>
        </w:rPr>
        <w:t xml:space="preserve">) and CITIBANK, N.A., a national banking association incorporated under the laws of the United States of America, as the Common Agent (the </w:t>
      </w:r>
      <w:r>
        <w:rPr>
          <w:b/>
          <w:bCs/>
          <w:i/>
          <w:iCs/>
          <w:color w:val="000000"/>
        </w:rPr>
        <w:t>Common Agent</w:t>
      </w:r>
      <w:r>
        <w:rPr>
          <w:color w:val="000000"/>
        </w:rPr>
        <w:t>).</w:t>
      </w:r>
    </w:p>
    <w:p>
      <w:pPr>
        <w:pStyle w:val="BodyText"/>
        <w:rPr>
          <w:b/>
          <w:bCs/>
          <w:color w:val="000000"/>
        </w:rPr>
      </w:pPr>
      <w:bookmarkStart w:id="117" w:name="_DV_M79"/>
      <w:bookmarkEnd w:id="117"/>
      <w:r>
        <w:rPr>
          <w:b/>
          <w:bCs/>
          <w:color w:val="000000"/>
        </w:rPr>
        <w:t xml:space="preserve">WHEREAS, </w:t>
      </w:r>
      <w:r>
        <w:rPr>
          <w:color w:val="000000"/>
        </w:rPr>
        <w:t>the Borrowers, Overseas Private Investment Corporation, an agency of the United States of America (</w:t>
      </w:r>
      <w:r>
        <w:rPr>
          <w:b/>
          <w:bCs/>
          <w:i/>
          <w:iCs/>
          <w:color w:val="000000"/>
        </w:rPr>
        <w:t>OPIC</w:t>
      </w:r>
      <w:r>
        <w:rPr>
          <w:color w:val="000000"/>
        </w:rPr>
        <w:t>), Kreditanstalt für Wiederaufbau, a public corporation organized and existing under the laws of the Federal Republic of Germany (</w:t>
      </w:r>
      <w:r>
        <w:rPr>
          <w:b/>
          <w:bCs/>
          <w:i/>
          <w:iCs/>
          <w:color w:val="000000"/>
        </w:rPr>
        <w:t>KfW</w:t>
      </w:r>
      <w:r>
        <w:rPr>
          <w:b/>
          <w:bCs/>
          <w:color w:val="000000"/>
        </w:rPr>
        <w:t xml:space="preserve"> </w:t>
      </w:r>
      <w:r>
        <w:rPr>
          <w:color w:val="000000"/>
        </w:rPr>
        <w:t>and, together with OPIC and their respective successors and assigns, the</w:t>
      </w:r>
      <w:r>
        <w:rPr>
          <w:i/>
          <w:iCs/>
          <w:color w:val="000000"/>
        </w:rPr>
        <w:t xml:space="preserve"> </w:t>
      </w:r>
      <w:r>
        <w:rPr>
          <w:b/>
          <w:bCs/>
          <w:i/>
          <w:iCs/>
          <w:color w:val="000000"/>
        </w:rPr>
        <w:t>Lenders</w:t>
      </w:r>
      <w:r>
        <w:rPr>
          <w:color w:val="000000"/>
        </w:rPr>
        <w:t xml:space="preserve">), Banco Citibank S.A., a banking institution organized and existing under the laws of the Federative Republic of Brazil, as the Brazilian Collateral Agent, Citibank, N.A., a banking institution organized and existing under the laws of the Republic of Bolivia, as the Bolivian Collateral Agent, and the Common Agent are parties to a Common Terms Agreement dated as of September 30, 1999 (as modified and supplemented and in effect from time to time, the </w:t>
      </w:r>
      <w:r>
        <w:rPr>
          <w:b/>
          <w:bCs/>
          <w:i/>
          <w:iCs/>
          <w:color w:val="000000"/>
        </w:rPr>
        <w:t>Common Agreement</w:t>
      </w:r>
      <w:r>
        <w:rPr>
          <w:color w:val="000000"/>
        </w:rPr>
        <w:t xml:space="preserve">), and the Borrowers and the Lenders are party to the Loan Agreements (as defined in the Common Agreement) providing, subject to the terms and conditions thereof, for extensions of credit (by making of loans) by the Lenders to the Borrowers in an aggregate principal amount not exceeding $365,000,000.  </w:t>
      </w:r>
    </w:p>
    <w:p>
      <w:pPr>
        <w:pStyle w:val="BodyText"/>
        <w:rPr/>
      </w:pPr>
      <w:bookmarkStart w:id="118" w:name="_DV_M80"/>
      <w:bookmarkEnd w:id="118"/>
      <w:r>
        <w:rPr>
          <w:b/>
          <w:bCs/>
          <w:color w:val="000000"/>
        </w:rPr>
        <w:t>WHEREAS</w:t>
      </w:r>
      <w:r>
        <w:rPr>
          <w:color w:val="000000"/>
        </w:rPr>
        <w:t>, the Borrowers may incur indebtedness, other than indebtedness under the Financing Documents, from time to time, including without limitation, Shareholder Subordinated Debt (as such term is defined in the Common Agreement).</w:t>
      </w:r>
    </w:p>
    <w:p>
      <w:pPr>
        <w:pStyle w:val="BodyText"/>
        <w:rPr/>
      </w:pPr>
      <w:bookmarkStart w:id="119" w:name="_DV_M81"/>
      <w:bookmarkEnd w:id="119"/>
      <w:r>
        <w:rPr>
          <w:b/>
          <w:bCs/>
          <w:color w:val="000000"/>
        </w:rPr>
        <w:t>WHEREAS</w:t>
      </w:r>
      <w:r>
        <w:rPr>
          <w:color w:val="000000"/>
        </w:rPr>
        <w:t>, pursuant to the Common Agreement, the Common Agent has been appointed to act as agent and representative for the Secured Parties in connection with the Collateral (as such terms are defined in the Common Agreement), including, without limitation, this Agreement and the Equity Contributions (as defined herein) made pursuant hereto.</w:t>
      </w:r>
    </w:p>
    <w:p>
      <w:pPr>
        <w:pStyle w:val="BodyText"/>
        <w:rPr/>
      </w:pPr>
      <w:bookmarkStart w:id="120" w:name="_DV_M82"/>
      <w:bookmarkEnd w:id="120"/>
      <w:r>
        <w:rPr>
          <w:b/>
          <w:bCs/>
          <w:color w:val="000000"/>
        </w:rPr>
        <w:t>WHEREAS</w:t>
      </w:r>
      <w:r>
        <w:rPr>
          <w:color w:val="000000"/>
        </w:rPr>
        <w:t>, on the date hereof, EPE is a Brazilian limited liability quota company (</w:t>
      </w:r>
      <w:r>
        <w:rPr>
          <w:i/>
          <w:iCs/>
          <w:color w:val="000000"/>
        </w:rPr>
        <w:t>sociedade por quotas de responsabilidade limitada</w:t>
      </w:r>
      <w:r>
        <w:rPr>
          <w:color w:val="000000"/>
        </w:rPr>
        <w:t>) with a fully subscribed and paid in capital of R</w:t>
      </w:r>
      <w:r>
        <w:rPr>
          <w:b/>
          <w:bCs/>
          <w:color w:val="000000"/>
        </w:rPr>
        <w:t>$</w:t>
      </w:r>
      <w:r>
        <w:rPr>
          <w:color w:val="000000"/>
        </w:rPr>
        <w:t xml:space="preserve">107,502,495 divided into 107,502,495 </w:t>
      </w:r>
      <w:r>
        <w:rPr>
          <w:i/>
          <w:iCs/>
          <w:color w:val="000000"/>
        </w:rPr>
        <w:t>quotas</w:t>
      </w:r>
      <w:r>
        <w:rPr>
          <w:color w:val="000000"/>
        </w:rPr>
        <w:t xml:space="preserve"> with a nominal value of R$1.00 each; GasMat is a Brazilian limited liability quota company (</w:t>
      </w:r>
      <w:r>
        <w:rPr>
          <w:i/>
          <w:iCs/>
          <w:color w:val="000000"/>
        </w:rPr>
        <w:t>sociedade por quotas de responsabilidade limitada</w:t>
      </w:r>
      <w:r>
        <w:rPr>
          <w:color w:val="000000"/>
        </w:rPr>
        <w:t xml:space="preserve">) with a fully subscribed and paid in capital of R$49,219,529 divided into 49,219,529 </w:t>
      </w:r>
      <w:r>
        <w:rPr>
          <w:i/>
          <w:iCs/>
          <w:color w:val="000000"/>
        </w:rPr>
        <w:t>quotas</w:t>
      </w:r>
      <w:r>
        <w:rPr>
          <w:color w:val="000000"/>
        </w:rPr>
        <w:t xml:space="preserve"> with a nominal value of R$1.00 each; and GasBol is a Bolivian limited liability company (</w:t>
      </w:r>
      <w:r>
        <w:rPr>
          <w:i/>
          <w:iCs/>
          <w:color w:val="000000"/>
        </w:rPr>
        <w:t>sociedad de responsibilidad limitada</w:t>
      </w:r>
      <w:r>
        <w:rPr>
          <w:color w:val="000000"/>
        </w:rPr>
        <w:t xml:space="preserve">) with a fully subscribed and paid in capital of Bs. 12,500 divided into 125 </w:t>
      </w:r>
      <w:r>
        <w:rPr>
          <w:i/>
          <w:iCs/>
          <w:color w:val="000000"/>
        </w:rPr>
        <w:t>cuotas</w:t>
      </w:r>
      <w:r>
        <w:rPr>
          <w:color w:val="000000"/>
        </w:rPr>
        <w:t xml:space="preserve"> with a nominal value of Bs. 100 each.</w:t>
      </w:r>
    </w:p>
    <w:p>
      <w:pPr>
        <w:pStyle w:val="BodyText"/>
        <w:rPr/>
      </w:pPr>
      <w:bookmarkStart w:id="121" w:name="_DV_M83"/>
      <w:bookmarkEnd w:id="121"/>
      <w:r>
        <w:rPr>
          <w:b/>
          <w:bCs/>
          <w:color w:val="000000"/>
        </w:rPr>
        <w:t>WHEREAS</w:t>
      </w:r>
      <w:r>
        <w:rPr>
          <w:color w:val="000000"/>
        </w:rPr>
        <w:t>, Enron Electric Power Brazil C.V., a __________, and SCHL are parties to the Shareholders’ Funding Agreement (as defined in the Common Agreement) and EIBH, SGLA, and GasBol are parties to the Quotaholders Agreement (as defined in the Common Agreement).</w:t>
      </w:r>
    </w:p>
    <w:p>
      <w:pPr>
        <w:pStyle w:val="BodyText"/>
        <w:rPr/>
      </w:pPr>
      <w:bookmarkStart w:id="122" w:name="_DV_M84"/>
      <w:bookmarkEnd w:id="122"/>
      <w:r>
        <w:rPr>
          <w:b/>
          <w:bCs/>
          <w:color w:val="000000"/>
        </w:rPr>
        <w:t>WHEREAS</w:t>
      </w:r>
      <w:r>
        <w:rPr>
          <w:color w:val="000000"/>
        </w:rPr>
        <w:t>, to induce the Lenders to enter into the Loan Agreements and the Common Agreement and to extend credit thereunder, and for other good and valuable consideration, the receipt and sufficiency of which are hereby acknowledged, the Shareholders have agreed to contribute equity or subscribe for additional capital in their respective Subsidiaries that are Borrowers and/or make subordinated loans to such Borrowers (or in the case of EPE, to subscribe for additional equity or make subordinated loans to the EPE Holdings and, in the case of GasMat, to subscribe for additional equity or make subordinated loans to the GasMat Holdings) on the terms and subject to the conditions of this Agreement in an aggregate amount of U.S</w:t>
      </w:r>
      <w:r>
        <w:rPr>
          <w:b/>
          <w:bCs/>
          <w:color w:val="000000"/>
        </w:rPr>
        <w:t>.$[_______]</w:t>
      </w:r>
      <w:r>
        <w:rPr>
          <w:color w:val="000000"/>
        </w:rPr>
        <w:t xml:space="preserve"> and to provide additional support for the completion of the Project (as defined in the Common Agreement) through a combination of equity contributions and subordinated loans or through the subscription of additional equity to the Borrowers to cover the cost overruns, on the terms and subject to the conditions of this Agreement, in the aggregate amount of up to U.S.$</w:t>
      </w:r>
      <w:r>
        <w:rPr>
          <w:b/>
          <w:bCs/>
          <w:color w:val="000000"/>
        </w:rPr>
        <w:t>[_______]</w:t>
      </w:r>
      <w:r>
        <w:rPr>
          <w:color w:val="000000"/>
        </w:rPr>
        <w:t>.  The obligations of each Shareholder hereunder are supported by a guarantee by the Sponsors on the terms and subject to the conditions set forth in Article 4.</w:t>
      </w:r>
    </w:p>
    <w:p>
      <w:pPr>
        <w:pStyle w:val="BodyText"/>
        <w:rPr/>
      </w:pPr>
      <w:bookmarkStart w:id="123" w:name="_DV_M85"/>
      <w:bookmarkEnd w:id="123"/>
      <w:r>
        <w:rPr>
          <w:b/>
          <w:bCs/>
          <w:color w:val="000000"/>
        </w:rPr>
        <w:t>NOW, THEREFORE</w:t>
      </w:r>
      <w:r>
        <w:rPr>
          <w:color w:val="000000"/>
        </w:rPr>
        <w:t>, the parties hereto agree as follows:</w:t>
      </w:r>
    </w:p>
    <w:p>
      <w:pPr>
        <w:pStyle w:val="Heading2"/>
        <w:ind w:hanging="0" w:start="0"/>
        <w:rPr>
          <w:color w:val="000000"/>
          <w:lang w:val="fr-FR"/>
        </w:rPr>
      </w:pPr>
      <w:bookmarkStart w:id="124" w:name="__RefHeading___Toc490591554"/>
      <w:bookmarkStart w:id="125" w:name="_DV_M86"/>
      <w:bookmarkEnd w:id="124"/>
      <w:bookmarkEnd w:id="125"/>
      <w:r>
        <w:rPr>
          <w:color w:val="000000"/>
          <w:lang w:val="fr-FR"/>
        </w:rPr>
        <w:t>ARTICLE 1.  Definitions; Interpretation</w:t>
      </w:r>
    </w:p>
    <w:p>
      <w:pPr>
        <w:pStyle w:val="Heading3"/>
        <w:ind w:hanging="0" w:start="0"/>
        <w:rPr>
          <w:color w:val="000000"/>
          <w:lang w:val="fr-FR"/>
        </w:rPr>
      </w:pPr>
      <w:bookmarkStart w:id="126" w:name="__RefHeading___Toc490591555"/>
      <w:bookmarkStart w:id="127" w:name="_DV_M87"/>
      <w:bookmarkEnd w:id="126"/>
      <w:bookmarkEnd w:id="127"/>
      <w:r>
        <w:rPr>
          <w:color w:val="000000"/>
          <w:lang w:val="fr-FR"/>
        </w:rPr>
        <w:t>1.1</w:t>
        <w:tab/>
        <w:t>Definitions.</w:t>
      </w:r>
    </w:p>
    <w:p>
      <w:pPr>
        <w:pStyle w:val="BodyText"/>
        <w:rPr>
          <w:color w:val="000000"/>
        </w:rPr>
      </w:pPr>
      <w:bookmarkStart w:id="128" w:name="_DV_M88"/>
      <w:bookmarkEnd w:id="128"/>
      <w:r>
        <w:rPr>
          <w:color w:val="000000"/>
        </w:rPr>
        <w:t>Except as otherwise expressly provided herein, capitalized terms used in this Agreement shall have the meanings given thereto in Exhibit A to the Common Agreement.  In addition, as used herein the following terms shall have the following respective meanings (all terms defined in this Article 1 and in the other provisions of this Agreement in the singular to have the same meanings when used in the plural and vice versa):</w:t>
      </w:r>
    </w:p>
    <w:p>
      <w:pPr>
        <w:pStyle w:val="BodyText"/>
        <w:rPr/>
      </w:pPr>
      <w:bookmarkStart w:id="129" w:name="_DV_M89"/>
      <w:bookmarkEnd w:id="129"/>
      <w:r>
        <w:rPr>
          <w:b/>
          <w:bCs/>
          <w:i/>
          <w:iCs/>
          <w:color w:val="000000"/>
        </w:rPr>
        <w:t>Acceptable Credit Support</w:t>
      </w:r>
      <w:r>
        <w:rPr>
          <w:color w:val="000000"/>
        </w:rPr>
        <w:t xml:space="preserve">:  Each of (i) an irrevocable unconditional guarantee issued to and for the benefit of a Borrower that is in form and substance reasonably satisfactory to the Lenders and which specifically by its terms permits such Borrower to assign its rights thereunder to secure the payment of the Obligations; </w:t>
      </w:r>
      <w:r>
        <w:rPr>
          <w:b/>
          <w:bCs/>
          <w:i/>
          <w:iCs/>
          <w:color w:val="000000"/>
        </w:rPr>
        <w:t>provided</w:t>
      </w:r>
      <w:r>
        <w:rPr>
          <w:color w:val="000000"/>
        </w:rPr>
        <w:t xml:space="preserve">, that the guarantor must be a Sponsor; or (ii) an irrevocable standby letter of credit issued to and for the benefit of the Common Agent for the account of a Person other than a Borrower that is in form and substance reasonably satisfactory to the Lenders; </w:t>
      </w:r>
      <w:r>
        <w:rPr>
          <w:b/>
          <w:bCs/>
          <w:i/>
          <w:iCs/>
          <w:color w:val="000000"/>
        </w:rPr>
        <w:t>provided</w:t>
      </w:r>
      <w:r>
        <w:rPr>
          <w:color w:val="000000"/>
        </w:rPr>
        <w:t xml:space="preserve">, that such letter of credit must be issued by an Acceptable LC Issuer and must by its terms either: (A) expire no earlier than sixty (60) days after the Final Loan Maturity Date; or (B) have an initial expiration date at least six (6) months beyond its date of issuance and provide that (1) such letter of credit will be automatically renewed for a period of at least six (6) months beyond its then current expiration date unless the issuer thereof provides written notice (a </w:t>
      </w:r>
      <w:r>
        <w:rPr>
          <w:b/>
          <w:bCs/>
          <w:i/>
          <w:iCs/>
          <w:color w:val="000000"/>
        </w:rPr>
        <w:t>Termination Notice</w:t>
      </w:r>
      <w:r>
        <w:rPr>
          <w:color w:val="000000"/>
        </w:rPr>
        <w:t>) to the Lenders and the Common Agent at least thirty (30) Business Days prior to its then current expiration date that such letter of credit shall expire on such current expiration date and (2) if the issuer shall have delivered a Termination Notice, the Common Agent shall be entitled to draw the full amount available to be drawn under such letter of credit at any time after its receipt of such Termination Notice and prior to the expiration of such letter of credit, which amount shall be deposited in the Offshore Funding Account of such Borrower for application in accordance with the Disbursement Agreement. If at any time the issuer of such letter of credit shall cease to be an Acceptable LC Issuer, then such letter of credit shall cease to be Acceptable Credit Support seven days after the date on which the issuer ceased to be an Acceptable LC Issuer.</w:t>
      </w:r>
    </w:p>
    <w:p>
      <w:pPr>
        <w:pStyle w:val="BodyText"/>
        <w:rPr/>
      </w:pPr>
      <w:bookmarkStart w:id="130" w:name="_DV_M90"/>
      <w:bookmarkEnd w:id="130"/>
      <w:r>
        <w:rPr>
          <w:b/>
          <w:bCs/>
          <w:i/>
          <w:iCs/>
          <w:color w:val="000000"/>
        </w:rPr>
        <w:t>Acceptable LC Issuer</w:t>
      </w:r>
      <w:r>
        <w:rPr>
          <w:color w:val="000000"/>
        </w:rPr>
        <w:t>:  Either (i) a bank or trust company that is located in the United States, is organized under the laws of the United States or any state thereof, and has both a short-term and long-term deposit rating of at least P-1 and A2, respectively, by Moody’s and of at least A-1 and A, respectively, by S&amp;P or (ii) another financial institution acceptable to the Lenders in their sole discretion.</w:t>
      </w:r>
    </w:p>
    <w:p>
      <w:pPr>
        <w:pStyle w:val="BodyText"/>
        <w:rPr/>
      </w:pPr>
      <w:bookmarkStart w:id="131" w:name="_DV_M91"/>
      <w:bookmarkEnd w:id="131"/>
      <w:r>
        <w:rPr>
          <w:b/>
          <w:bCs/>
          <w:i/>
          <w:iCs/>
          <w:color w:val="000000"/>
        </w:rPr>
        <w:t>Bankruptcy</w:t>
      </w:r>
      <w:r>
        <w:rPr>
          <w:color w:val="000000"/>
        </w:rPr>
        <w:t>:  As defined in Section 4.4(h).</w:t>
      </w:r>
    </w:p>
    <w:p>
      <w:pPr>
        <w:pStyle w:val="BodyText"/>
        <w:rPr/>
      </w:pPr>
      <w:bookmarkStart w:id="132" w:name="_DV_M92"/>
      <w:bookmarkEnd w:id="132"/>
      <w:r>
        <w:rPr>
          <w:b/>
          <w:bCs/>
          <w:i/>
          <w:iCs/>
          <w:color w:val="000000"/>
        </w:rPr>
        <w:t>Bankruptcy Laws</w:t>
      </w:r>
      <w:r>
        <w:rPr>
          <w:color w:val="000000"/>
        </w:rPr>
        <w:t>:  As defined in Section 4.4(h).</w:t>
      </w:r>
    </w:p>
    <w:p>
      <w:pPr>
        <w:pStyle w:val="BodyText"/>
        <w:rPr/>
      </w:pPr>
      <w:bookmarkStart w:id="133" w:name="_DV_M93"/>
      <w:bookmarkEnd w:id="133"/>
      <w:r>
        <w:rPr>
          <w:b/>
          <w:bCs/>
          <w:i/>
          <w:iCs/>
          <w:color w:val="000000"/>
        </w:rPr>
        <w:t>Base Equity Amount:</w:t>
      </w:r>
      <w:r>
        <w:rPr>
          <w:color w:val="000000"/>
        </w:rPr>
        <w:t xml:space="preserve">   As defined in Section 2.1(a).</w:t>
      </w:r>
    </w:p>
    <w:p>
      <w:pPr>
        <w:pStyle w:val="BodyText"/>
        <w:rPr/>
      </w:pPr>
      <w:bookmarkStart w:id="134" w:name="_DV_M94"/>
      <w:bookmarkEnd w:id="134"/>
      <w:r>
        <w:rPr>
          <w:b/>
          <w:bCs/>
          <w:i/>
          <w:iCs/>
          <w:color w:val="000000"/>
        </w:rPr>
        <w:t>Budgeted Change Orders</w:t>
      </w:r>
      <w:r>
        <w:rPr>
          <w:color w:val="000000"/>
        </w:rPr>
        <w:t>:  As defined in Section 2.1(b).</w:t>
      </w:r>
    </w:p>
    <w:p>
      <w:pPr>
        <w:pStyle w:val="BodyText"/>
        <w:rPr/>
      </w:pPr>
      <w:bookmarkStart w:id="135" w:name="_DV_M95"/>
      <w:bookmarkEnd w:id="135"/>
      <w:r>
        <w:rPr>
          <w:b/>
          <w:bCs/>
          <w:i/>
          <w:iCs/>
          <w:color w:val="000000"/>
        </w:rPr>
        <w:t>Capital Contribution:</w:t>
      </w:r>
      <w:r>
        <w:rPr>
          <w:color w:val="000000"/>
        </w:rPr>
        <w:t xml:space="preserve">  A contribution to the equity capital of any Borrower, EPE Holdings, or GasMat Holdings by means of (i) a fully paid cash contribution in the case of a contribution to a Borrower or (ii) a subscription for additional shares of capital stock, in the case of a contribution to EPE Holdings or GasMat Holdings.  Contributions to the equity capital of any such Person that are made prior to the date of the initial Advance shall be considered </w:t>
      </w:r>
      <w:r>
        <w:rPr>
          <w:b/>
          <w:bCs/>
          <w:i/>
          <w:iCs/>
          <w:color w:val="000000"/>
        </w:rPr>
        <w:t>Capital Contributions</w:t>
      </w:r>
      <w:r>
        <w:rPr>
          <w:i/>
          <w:iCs/>
          <w:color w:val="000000"/>
        </w:rPr>
        <w:t xml:space="preserve"> </w:t>
      </w:r>
      <w:r>
        <w:rPr>
          <w:color w:val="000000"/>
        </w:rPr>
        <w:t>only to the extent that such Capital Contributions were or are used to pay for Project Costs included in the Construction Budget that were not reimbursed or otherwise distributed to such Borrower, EPE Holdings, GasMat Holdings, any Shareholder, or Sponsor from the proceeds of the Advances.</w:t>
      </w:r>
    </w:p>
    <w:p>
      <w:pPr>
        <w:pStyle w:val="BodyText"/>
        <w:rPr/>
      </w:pPr>
      <w:bookmarkStart w:id="136" w:name="_DV_M96"/>
      <w:bookmarkEnd w:id="136"/>
      <w:r>
        <w:rPr>
          <w:b/>
          <w:bCs/>
          <w:i/>
          <w:iCs/>
          <w:color w:val="000000"/>
        </w:rPr>
        <w:t>CCC Account</w:t>
      </w:r>
      <w:r>
        <w:rPr>
          <w:color w:val="000000"/>
        </w:rPr>
        <w:t>:  [The account used to compensate EPE in respect of its diesel oil costs.]</w:t>
      </w:r>
    </w:p>
    <w:p>
      <w:pPr>
        <w:pStyle w:val="BodyText"/>
        <w:rPr/>
      </w:pPr>
      <w:bookmarkStart w:id="137" w:name="_DV_M97"/>
      <w:bookmarkEnd w:id="137"/>
      <w:r>
        <w:rPr>
          <w:b/>
          <w:bCs/>
          <w:i/>
          <w:iCs/>
          <w:color w:val="000000"/>
        </w:rPr>
        <w:t>Change Order Amount</w:t>
      </w:r>
      <w:r>
        <w:rPr>
          <w:color w:val="000000"/>
        </w:rPr>
        <w:t>:  As defined in Section 2.1(b).</w:t>
      </w:r>
    </w:p>
    <w:p>
      <w:pPr>
        <w:pStyle w:val="BodyText"/>
        <w:rPr/>
      </w:pPr>
      <w:bookmarkStart w:id="138" w:name="_DV_M98"/>
      <w:bookmarkEnd w:id="138"/>
      <w:r>
        <w:rPr>
          <w:b/>
          <w:bCs/>
          <w:i/>
          <w:iCs/>
          <w:color w:val="000000"/>
        </w:rPr>
        <w:t>Contingent Penalties Amount</w:t>
      </w:r>
      <w:r>
        <w:rPr>
          <w:color w:val="000000"/>
        </w:rPr>
        <w:t>:  As defined in Section 2.1(b).</w:t>
      </w:r>
    </w:p>
    <w:p>
      <w:pPr>
        <w:pStyle w:val="BodyText"/>
        <w:rPr>
          <w:color w:val="000000"/>
        </w:rPr>
      </w:pPr>
      <w:bookmarkStart w:id="139" w:name="_DV_C13"/>
      <w:bookmarkStart w:id="140" w:name="_DV_IPM0"/>
      <w:bookmarkEnd w:id="140"/>
      <w:r>
        <w:rPr>
          <w:rStyle w:val="DeltaViewInsertion"/>
          <w:b/>
          <w:bCs/>
          <w:i/>
          <w:iCs/>
        </w:rPr>
        <w:t>Conversion Date</w:t>
      </w:r>
      <w:r>
        <w:rPr>
          <w:rStyle w:val="DeltaViewInsertion"/>
        </w:rPr>
        <w:t>:  The date projected by the Independent Engineer to be the date by which the [Power Plant will have converted to operation on natural gas as its only source of fuel].</w:t>
      </w:r>
      <w:bookmarkEnd w:id="139"/>
    </w:p>
    <w:p>
      <w:pPr>
        <w:pStyle w:val="BodyText"/>
        <w:rPr/>
      </w:pPr>
      <w:bookmarkStart w:id="141" w:name="_DV_M99"/>
      <w:bookmarkEnd w:id="141"/>
      <w:r>
        <w:rPr>
          <w:b/>
          <w:bCs/>
          <w:i/>
          <w:iCs/>
          <w:color w:val="000000"/>
        </w:rPr>
        <w:t>Cost Overruns:</w:t>
      </w:r>
      <w:r>
        <w:rPr>
          <w:color w:val="000000"/>
        </w:rPr>
        <w:t xml:space="preserve">  As defined in Section 2.1(b) </w:t>
      </w:r>
    </w:p>
    <w:p>
      <w:pPr>
        <w:pStyle w:val="BodyText"/>
        <w:rPr/>
      </w:pPr>
      <w:bookmarkStart w:id="142" w:name="_DV_M100"/>
      <w:bookmarkEnd w:id="142"/>
      <w:r>
        <w:rPr>
          <w:b/>
          <w:bCs/>
          <w:i/>
          <w:iCs/>
          <w:color w:val="000000"/>
        </w:rPr>
        <w:t>Debt to Equity Ratio</w:t>
      </w:r>
      <w:r>
        <w:rPr>
          <w:color w:val="000000"/>
        </w:rPr>
        <w:t xml:space="preserve">:  At any time, the ratio of (i) the aggregate outstanding principal amount of Advances at such time made to the Borrowers plus all other outstanding Indebtedness of the Borrowers at such time, which Indebtedness ranks </w:t>
      </w:r>
      <w:r>
        <w:rPr>
          <w:i/>
          <w:iCs/>
          <w:color w:val="000000"/>
        </w:rPr>
        <w:t xml:space="preserve">pari passu </w:t>
      </w:r>
      <w:r>
        <w:rPr>
          <w:color w:val="000000"/>
        </w:rPr>
        <w:t xml:space="preserve">with the Advances, to (ii) the sum (without duplication) of (x) the funded amount of Equity Contributions (excluding all Equity Contributions made pursuant to Section 2.1(b)) made to any Financing Party as of such date </w:t>
      </w:r>
      <w:r>
        <w:rPr>
          <w:b/>
          <w:bCs/>
          <w:i/>
          <w:iCs/>
          <w:color w:val="000000"/>
        </w:rPr>
        <w:t>plus</w:t>
      </w:r>
      <w:r>
        <w:rPr>
          <w:color w:val="000000"/>
        </w:rPr>
        <w:t xml:space="preserve"> (y) the amount as of such date of all Equity Contributions made prior to the date of the Initial Advance to EPE or GasMat, to the extent that such Borrower has not been reimbursed for, or otherwise received a distribution in respect of, such Capital Contribution.</w:t>
      </w:r>
    </w:p>
    <w:p>
      <w:pPr>
        <w:pStyle w:val="BodyText"/>
        <w:rPr/>
      </w:pPr>
      <w:bookmarkStart w:id="143" w:name="_DV_M101"/>
      <w:bookmarkEnd w:id="143"/>
      <w:r>
        <w:rPr>
          <w:b/>
          <w:bCs/>
          <w:i/>
          <w:iCs/>
          <w:color w:val="000000"/>
        </w:rPr>
        <w:t xml:space="preserve">Equity:  </w:t>
      </w:r>
      <w:r>
        <w:rPr>
          <w:color w:val="000000"/>
        </w:rPr>
        <w:t xml:space="preserve">As of any date, and for any Financing Company, the amount in U.S. Dollars subscribed for and paid in as capital of such Financing Company by its Shareholder(s) or loaned to such Financing Company by its Shareholders as Shareholder Subordinated Debt and not redeemed or otherwise reimbursed to such Shareholder(s) on or prior to such date; </w:t>
      </w:r>
      <w:r>
        <w:rPr>
          <w:b/>
          <w:bCs/>
          <w:i/>
          <w:iCs/>
          <w:color w:val="000000"/>
        </w:rPr>
        <w:t xml:space="preserve"> provided</w:t>
      </w:r>
      <w:r>
        <w:rPr>
          <w:i/>
          <w:iCs/>
          <w:color w:val="000000"/>
        </w:rPr>
        <w:t xml:space="preserve"> </w:t>
      </w:r>
      <w:r>
        <w:rPr>
          <w:color w:val="000000"/>
        </w:rPr>
        <w:t xml:space="preserve"> that for purposes of this definition, dividends and interest paid in respect of Equity shall not be deemed to constitute redemptions or reimbursement of Equity to the extent such dividends and interest are paid in accordance with the terms of the Financing Documents; and </w:t>
      </w:r>
      <w:r>
        <w:rPr>
          <w:b/>
          <w:bCs/>
          <w:i/>
          <w:iCs/>
          <w:color w:val="000000"/>
        </w:rPr>
        <w:t>provided further</w:t>
      </w:r>
      <w:r>
        <w:rPr>
          <w:color w:val="000000"/>
        </w:rPr>
        <w:t xml:space="preserve"> that "Equity" shall not include amounts loaned to EPE under the Liquidity Facility Agreement.  </w:t>
      </w:r>
    </w:p>
    <w:p>
      <w:pPr>
        <w:pStyle w:val="BodyText"/>
        <w:rPr>
          <w:color w:val="000000"/>
          <w:u w:val="double"/>
        </w:rPr>
      </w:pPr>
      <w:bookmarkStart w:id="144" w:name="_DV_M102"/>
      <w:bookmarkEnd w:id="144"/>
      <w:r>
        <w:rPr>
          <w:b/>
          <w:bCs/>
          <w:i/>
          <w:iCs/>
          <w:color w:val="000000"/>
        </w:rPr>
        <w:t>Equity Commitment Amount</w:t>
      </w:r>
      <w:r>
        <w:rPr>
          <w:color w:val="000000"/>
        </w:rPr>
        <w:t>:  For each Financing Company, with respect to each of the following Shareholders the following respective amounts:</w:t>
      </w:r>
    </w:p>
    <w:p>
      <w:pPr>
        <w:pStyle w:val="BodyText"/>
        <w:ind w:hanging="720" w:start="720" w:end="0"/>
        <w:rPr>
          <w:color w:val="000000"/>
        </w:rPr>
      </w:pPr>
      <w:bookmarkStart w:id="145" w:name="_DV_M103"/>
      <w:bookmarkEnd w:id="145"/>
      <w:r>
        <w:rPr>
          <w:color w:val="000000"/>
        </w:rPr>
        <w:t xml:space="preserve">(a)  </w:t>
        <w:tab/>
        <w:t>in the case of EPE Holdings and EPE (combined):</w:t>
      </w:r>
    </w:p>
    <w:p>
      <w:pPr>
        <w:pStyle w:val="BodyText"/>
        <w:ind w:hanging="720" w:start="1440" w:end="0"/>
        <w:rPr>
          <w:color w:val="000000"/>
        </w:rPr>
      </w:pPr>
      <w:bookmarkStart w:id="146" w:name="_DV_M104"/>
      <w:bookmarkEnd w:id="146"/>
      <w:r>
        <w:rPr>
          <w:color w:val="000000"/>
        </w:rPr>
        <w:t>(A)</w:t>
        <w:tab/>
        <w:t>Enron Holdings, U.S.$__, and</w:t>
      </w:r>
    </w:p>
    <w:p>
      <w:pPr>
        <w:pStyle w:val="BodyText"/>
        <w:ind w:hanging="720" w:start="1440" w:end="0"/>
        <w:rPr>
          <w:color w:val="000000"/>
        </w:rPr>
      </w:pPr>
      <w:bookmarkStart w:id="147" w:name="_DV_M105"/>
      <w:bookmarkEnd w:id="147"/>
      <w:r>
        <w:rPr>
          <w:color w:val="000000"/>
        </w:rPr>
        <w:t xml:space="preserve">(B) </w:t>
        <w:tab/>
        <w:t>SCHL, U.S.$__;</w:t>
      </w:r>
    </w:p>
    <w:p>
      <w:pPr>
        <w:pStyle w:val="BodyText"/>
        <w:keepNext w:val="true"/>
        <w:keepLines/>
        <w:ind w:hanging="720" w:start="720" w:end="0"/>
        <w:rPr>
          <w:color w:val="000000"/>
        </w:rPr>
      </w:pPr>
      <w:bookmarkStart w:id="148" w:name="_DV_M106"/>
      <w:bookmarkEnd w:id="148"/>
      <w:r>
        <w:rPr>
          <w:color w:val="000000"/>
        </w:rPr>
        <w:t xml:space="preserve">(b)  </w:t>
        <w:tab/>
        <w:t xml:space="preserve">in the case of GasMat Holdings and GasMat (combined): </w:t>
      </w:r>
    </w:p>
    <w:p>
      <w:pPr>
        <w:pStyle w:val="BodyText"/>
        <w:keepNext w:val="true"/>
        <w:keepLines/>
        <w:ind w:hanging="720" w:start="1440" w:end="0"/>
        <w:rPr>
          <w:color w:val="000000"/>
        </w:rPr>
      </w:pPr>
      <w:bookmarkStart w:id="149" w:name="_DV_M107"/>
      <w:bookmarkEnd w:id="149"/>
      <w:r>
        <w:rPr>
          <w:color w:val="000000"/>
        </w:rPr>
        <w:t>(A)</w:t>
        <w:tab/>
        <w:t>EBPH, U.S.$__, and</w:t>
      </w:r>
    </w:p>
    <w:p>
      <w:pPr>
        <w:pStyle w:val="BodyText"/>
        <w:keepNext w:val="true"/>
        <w:keepLines/>
        <w:ind w:hanging="720" w:start="1440" w:end="0"/>
        <w:rPr>
          <w:color w:val="000000"/>
        </w:rPr>
      </w:pPr>
      <w:bookmarkStart w:id="150" w:name="_DV_M108"/>
      <w:bookmarkEnd w:id="150"/>
      <w:r>
        <w:rPr>
          <w:color w:val="000000"/>
        </w:rPr>
        <w:t>(B)</w:t>
        <w:tab/>
        <w:t>SCHL, U.S.$__;</w:t>
      </w:r>
    </w:p>
    <w:p>
      <w:pPr>
        <w:pStyle w:val="BodyText"/>
        <w:rPr>
          <w:color w:val="000000"/>
        </w:rPr>
      </w:pPr>
      <w:bookmarkStart w:id="151" w:name="_DV_M109"/>
      <w:bookmarkEnd w:id="151"/>
      <w:r>
        <w:rPr>
          <w:color w:val="000000"/>
        </w:rPr>
        <w:t xml:space="preserve">(c) </w:t>
        <w:tab/>
        <w:t>in the case of GasBol:</w:t>
      </w:r>
    </w:p>
    <w:p>
      <w:pPr>
        <w:pStyle w:val="BodyText"/>
        <w:ind w:hanging="720" w:start="1440" w:end="0"/>
        <w:rPr>
          <w:color w:val="000000"/>
        </w:rPr>
      </w:pPr>
      <w:bookmarkStart w:id="152" w:name="_DV_M110"/>
      <w:bookmarkEnd w:id="152"/>
      <w:r>
        <w:rPr>
          <w:color w:val="000000"/>
        </w:rPr>
        <w:t>(A)</w:t>
        <w:tab/>
        <w:t>EIBH, U.S.$__, and</w:t>
      </w:r>
    </w:p>
    <w:p>
      <w:pPr>
        <w:pStyle w:val="BodyText"/>
        <w:ind w:hanging="720" w:start="1440" w:end="0"/>
        <w:rPr>
          <w:b/>
          <w:bCs/>
          <w:i/>
          <w:i/>
          <w:iCs/>
          <w:color w:val="000000"/>
        </w:rPr>
      </w:pPr>
      <w:bookmarkStart w:id="153" w:name="_DV_M111"/>
      <w:bookmarkEnd w:id="153"/>
      <w:r>
        <w:rPr>
          <w:color w:val="000000"/>
        </w:rPr>
        <w:t>(B)</w:t>
        <w:tab/>
        <w:t>SGLA, U.S.$__.</w:t>
      </w:r>
    </w:p>
    <w:p>
      <w:pPr>
        <w:pStyle w:val="BodyText"/>
        <w:rPr/>
      </w:pPr>
      <w:bookmarkStart w:id="154" w:name="_DV_M112"/>
      <w:bookmarkEnd w:id="154"/>
      <w:r>
        <w:rPr>
          <w:b/>
          <w:bCs/>
          <w:i/>
          <w:iCs/>
          <w:color w:val="000000"/>
        </w:rPr>
        <w:t xml:space="preserve">Equity Commitment Percentage:  </w:t>
      </w:r>
      <w:r>
        <w:rPr>
          <w:color w:val="000000"/>
        </w:rPr>
        <w:t xml:space="preserve"> (a)  For purposes of Section 2.1(a), the following respective percentages of the Shareholders:</w:t>
      </w:r>
    </w:p>
    <w:p>
      <w:pPr>
        <w:pStyle w:val="BodyText"/>
        <w:ind w:hanging="720" w:start="720" w:end="0"/>
        <w:rPr>
          <w:color w:val="000000"/>
        </w:rPr>
      </w:pPr>
      <w:bookmarkStart w:id="155" w:name="_DV_M113"/>
      <w:bookmarkEnd w:id="155"/>
      <w:r>
        <w:rPr>
          <w:color w:val="000000"/>
        </w:rPr>
        <w:tab/>
        <w:t xml:space="preserve">(i)  </w:t>
        <w:tab/>
        <w:t>in the case of Equity Contributions to EPE Holdings or EPE (as the case may be):</w:t>
      </w:r>
    </w:p>
    <w:p>
      <w:pPr>
        <w:pStyle w:val="BodyText"/>
        <w:ind w:firstLine="720" w:start="720" w:end="0"/>
        <w:rPr>
          <w:color w:val="000000"/>
        </w:rPr>
      </w:pPr>
      <w:bookmarkStart w:id="156" w:name="_DV_M114"/>
      <w:bookmarkEnd w:id="156"/>
      <w:r>
        <w:rPr>
          <w:color w:val="000000"/>
        </w:rPr>
        <w:t>(A)</w:t>
        <w:tab/>
        <w:t>Enron Holdings, 75%, and</w:t>
      </w:r>
    </w:p>
    <w:p>
      <w:pPr>
        <w:pStyle w:val="BodyText"/>
        <w:rPr>
          <w:color w:val="000000"/>
        </w:rPr>
      </w:pPr>
      <w:bookmarkStart w:id="157" w:name="_DV_M115"/>
      <w:bookmarkEnd w:id="157"/>
      <w:r>
        <w:rPr>
          <w:color w:val="000000"/>
        </w:rPr>
        <w:tab/>
        <w:tab/>
        <w:t xml:space="preserve">(B) </w:t>
        <w:tab/>
        <w:t>SCHL, 25%;</w:t>
      </w:r>
    </w:p>
    <w:p>
      <w:pPr>
        <w:pStyle w:val="BodyText"/>
        <w:keepNext w:val="true"/>
        <w:keepLines/>
        <w:rPr>
          <w:color w:val="000000"/>
        </w:rPr>
      </w:pPr>
      <w:bookmarkStart w:id="158" w:name="_DV_M116"/>
      <w:bookmarkEnd w:id="158"/>
      <w:r>
        <w:rPr>
          <w:color w:val="000000"/>
        </w:rPr>
        <w:tab/>
        <w:t xml:space="preserve">(ii)  </w:t>
        <w:tab/>
        <w:t xml:space="preserve">in the case of Equity Contributions to GasMat Holdings or GasMat (as the case may be): </w:t>
      </w:r>
    </w:p>
    <w:p>
      <w:pPr>
        <w:pStyle w:val="BodyText"/>
        <w:keepNext w:val="true"/>
        <w:keepLines/>
        <w:ind w:firstLine="720" w:start="720" w:end="0"/>
        <w:rPr>
          <w:color w:val="000000"/>
        </w:rPr>
      </w:pPr>
      <w:bookmarkStart w:id="159" w:name="_DV_M117"/>
      <w:bookmarkEnd w:id="159"/>
      <w:r>
        <w:rPr>
          <w:color w:val="000000"/>
        </w:rPr>
        <w:t>(A)</w:t>
        <w:tab/>
        <w:t>EBPH, 57%, and</w:t>
      </w:r>
    </w:p>
    <w:p>
      <w:pPr>
        <w:pStyle w:val="BodyText"/>
        <w:keepNext w:val="true"/>
        <w:keepLines/>
        <w:ind w:firstLine="720" w:start="720" w:end="0"/>
        <w:rPr>
          <w:color w:val="000000"/>
        </w:rPr>
      </w:pPr>
      <w:bookmarkStart w:id="160" w:name="_DV_M118"/>
      <w:bookmarkEnd w:id="160"/>
      <w:r>
        <w:rPr>
          <w:color w:val="000000"/>
        </w:rPr>
        <w:t>(B)</w:t>
        <w:tab/>
        <w:t>SCHL, 43%;</w:t>
      </w:r>
    </w:p>
    <w:p>
      <w:pPr>
        <w:pStyle w:val="BodyText"/>
        <w:rPr>
          <w:color w:val="000000"/>
        </w:rPr>
      </w:pPr>
      <w:bookmarkStart w:id="161" w:name="_DV_M119"/>
      <w:bookmarkEnd w:id="161"/>
      <w:r>
        <w:rPr>
          <w:color w:val="000000"/>
        </w:rPr>
        <w:tab/>
        <w:t xml:space="preserve">(iii) </w:t>
        <w:tab/>
        <w:t xml:space="preserve">in the case of Equity Contributions to GasBol, </w:t>
      </w:r>
    </w:p>
    <w:p>
      <w:pPr>
        <w:pStyle w:val="BodyText"/>
        <w:ind w:firstLine="720" w:start="720" w:end="0"/>
        <w:rPr>
          <w:color w:val="000000"/>
        </w:rPr>
      </w:pPr>
      <w:bookmarkStart w:id="162" w:name="_DV_M120"/>
      <w:bookmarkEnd w:id="162"/>
      <w:r>
        <w:rPr>
          <w:color w:val="000000"/>
        </w:rPr>
        <w:t>(A)</w:t>
        <w:tab/>
        <w:t>EIBH, 50%, and</w:t>
      </w:r>
    </w:p>
    <w:p>
      <w:pPr>
        <w:pStyle w:val="BodyText"/>
        <w:rPr>
          <w:color w:val="000000"/>
        </w:rPr>
      </w:pPr>
      <w:bookmarkStart w:id="163" w:name="_DV_M121"/>
      <w:bookmarkEnd w:id="163"/>
      <w:r>
        <w:rPr>
          <w:color w:val="000000"/>
        </w:rPr>
        <w:tab/>
        <w:tab/>
        <w:t>(B)</w:t>
        <w:tab/>
        <w:t xml:space="preserve">SGLA, 50%.  </w:t>
      </w:r>
    </w:p>
    <w:p>
      <w:pPr>
        <w:pStyle w:val="BodyText"/>
        <w:rPr>
          <w:color w:val="000000"/>
        </w:rPr>
      </w:pPr>
      <w:bookmarkStart w:id="164" w:name="_DV_M122"/>
      <w:bookmarkEnd w:id="164"/>
      <w:r>
        <w:rPr>
          <w:color w:val="000000"/>
        </w:rPr>
        <w:t>[and (b) for all other purposes, with respect to each Shareholder and for each Related Company, the ownership percentage of such Shareholder in such Related Company as set forth in Section 6.1(g);</w:t>
      </w:r>
      <w:r>
        <w:rPr>
          <w:b/>
          <w:bCs/>
          <w:color w:val="000000"/>
        </w:rPr>
        <w:t xml:space="preserve"> </w:t>
      </w:r>
      <w:r>
        <w:rPr>
          <w:b/>
          <w:bCs/>
          <w:i/>
          <w:iCs/>
          <w:color w:val="000000"/>
        </w:rPr>
        <w:t>provided</w:t>
      </w:r>
      <w:r>
        <w:rPr>
          <w:b/>
          <w:bCs/>
          <w:color w:val="000000"/>
        </w:rPr>
        <w:t xml:space="preserve"> </w:t>
      </w:r>
      <w:r>
        <w:rPr>
          <w:color w:val="000000"/>
        </w:rPr>
        <w:t>that the Equity Commitment Percentages held by the Shareholders and the Permitted Transferees shall be adjusted upon the occurrence a Permitted Transfer to reflect the then current ownership percentages in the Borrowers.]</w:t>
      </w:r>
      <w:r>
        <w:rPr>
          <w:rStyle w:val="FootnoteCharacters"/>
          <w:rStyle w:val="FootnoteReference"/>
          <w:color w:val="000000"/>
        </w:rPr>
        <w:footnoteReference w:id="2"/>
      </w:r>
    </w:p>
    <w:p>
      <w:pPr>
        <w:pStyle w:val="Paragraph2"/>
        <w:widowControl/>
        <w:tabs>
          <w:tab w:val="clear" w:pos="1800"/>
          <w:tab w:val="clear" w:pos="1980"/>
          <w:tab w:val="clear" w:pos="2880"/>
          <w:tab w:val="clear" w:pos="3600"/>
          <w:tab w:val="clear" w:pos="4320"/>
          <w:tab w:val="clear" w:pos="5040"/>
          <w:tab w:val="clear" w:pos="5760"/>
          <w:tab w:val="clear" w:pos="6480"/>
          <w:tab w:val="clear" w:pos="7200"/>
          <w:tab w:val="clear" w:pos="7920"/>
          <w:tab w:val="clear" w:pos="9000"/>
          <w:tab w:val="clear" w:pos="9720"/>
          <w:tab w:val="left" w:pos="-1440" w:leader="none"/>
          <w:tab w:val="left" w:pos="-720" w:leader="none"/>
          <w:tab w:val="left" w:pos="0" w:leader="none"/>
        </w:tabs>
        <w:spacing w:lineRule="exact" w:line="288"/>
        <w:ind w:start="0" w:end="0"/>
        <w:jc w:val="both"/>
        <w:rPr/>
      </w:pPr>
      <w:bookmarkStart w:id="165" w:name="_DV_M123"/>
      <w:bookmarkEnd w:id="165"/>
      <w:r>
        <w:rPr>
          <w:rFonts w:cs="Times New Roman" w:ascii="Times New Roman" w:hAnsi="Times New Roman"/>
          <w:b/>
          <w:bCs/>
          <w:i/>
          <w:iCs/>
          <w:color w:val="000000"/>
        </w:rPr>
        <w:t>Equity Contribution:</w:t>
      </w:r>
      <w:r>
        <w:rPr>
          <w:rFonts w:cs="Times New Roman" w:ascii="Times New Roman" w:hAnsi="Times New Roman"/>
          <w:color w:val="000000"/>
        </w:rPr>
        <w:t xml:space="preserve">  A Capital Contribution, or the making of loans constituting Shareholder Subordinated Debt, to fulfill the Shareholders’ obligations under Article 2; </w:t>
      </w:r>
      <w:r>
        <w:rPr>
          <w:rFonts w:cs="Times New Roman" w:ascii="Times New Roman" w:hAnsi="Times New Roman"/>
          <w:b/>
          <w:bCs/>
          <w:i/>
          <w:iCs/>
          <w:color w:val="000000"/>
        </w:rPr>
        <w:t>provided</w:t>
      </w:r>
      <w:r>
        <w:rPr>
          <w:rFonts w:cs="Times New Roman" w:ascii="Times New Roman" w:hAnsi="Times New Roman"/>
          <w:color w:val="000000"/>
        </w:rPr>
        <w:t xml:space="preserve"> that if for any reason a Shareholder is unable to provide Shareholder Subordinated Debt, then such Shareholder shall make a Capital Contribution.</w:t>
      </w:r>
    </w:p>
    <w:p>
      <w:pPr>
        <w:pStyle w:val="Paragraph2"/>
        <w:widowControl/>
        <w:tabs>
          <w:tab w:val="clear" w:pos="1800"/>
          <w:tab w:val="clear" w:pos="1980"/>
          <w:tab w:val="clear" w:pos="2880"/>
          <w:tab w:val="clear" w:pos="3600"/>
          <w:tab w:val="clear" w:pos="4320"/>
          <w:tab w:val="clear" w:pos="5040"/>
          <w:tab w:val="clear" w:pos="5760"/>
          <w:tab w:val="clear" w:pos="6480"/>
          <w:tab w:val="clear" w:pos="7200"/>
          <w:tab w:val="clear" w:pos="7920"/>
          <w:tab w:val="clear" w:pos="9000"/>
          <w:tab w:val="clear" w:pos="9720"/>
          <w:tab w:val="left" w:pos="-1440" w:leader="none"/>
          <w:tab w:val="left" w:pos="-720" w:leader="none"/>
          <w:tab w:val="left" w:pos="0" w:leader="none"/>
        </w:tabs>
        <w:spacing w:lineRule="exact" w:line="288"/>
        <w:ind w:start="0" w:end="0"/>
        <w:jc w:val="both"/>
        <w:rPr>
          <w:rFonts w:ascii="Times New Roman" w:hAnsi="Times New Roman" w:cs="Times New Roman"/>
          <w:color w:val="000000"/>
        </w:rPr>
      </w:pPr>
      <w:bookmarkStart w:id="166" w:name="_DV_M124"/>
      <w:bookmarkEnd w:id="166"/>
      <w:r>
        <w:rPr>
          <w:rFonts w:cs="Times New Roman" w:ascii="Times New Roman" w:hAnsi="Times New Roman"/>
          <w:b/>
          <w:bCs/>
          <w:i/>
          <w:iCs/>
          <w:color w:val="000000"/>
        </w:rPr>
        <w:t>Equity Contribution Date:</w:t>
      </w:r>
      <w:r>
        <w:rPr>
          <w:rFonts w:cs="Times New Roman" w:ascii="Times New Roman" w:hAnsi="Times New Roman"/>
          <w:color w:val="000000"/>
        </w:rPr>
        <w:t xml:space="preserve">  Each date listed in Schedule I hereto.</w:t>
      </w:r>
      <w:r>
        <w:rPr>
          <w:rStyle w:val="FootnoteCharacters"/>
          <w:rStyle w:val="FootnoteReference"/>
          <w:color w:val="000000"/>
        </w:rPr>
        <w:footnoteReference w:id="3"/>
      </w:r>
    </w:p>
    <w:p>
      <w:pPr>
        <w:pStyle w:val="BodyText"/>
        <w:rPr/>
      </w:pPr>
      <w:bookmarkStart w:id="167" w:name="_DV_M125"/>
      <w:bookmarkEnd w:id="167"/>
      <w:r>
        <w:rPr>
          <w:b/>
          <w:bCs/>
          <w:i/>
          <w:iCs/>
          <w:color w:val="000000"/>
        </w:rPr>
        <w:t>Excess Contribution Amount:</w:t>
      </w:r>
      <w:r>
        <w:rPr>
          <w:color w:val="000000"/>
        </w:rPr>
        <w:t xml:space="preserve"> As defined in Section 2.1(b).</w:t>
      </w:r>
    </w:p>
    <w:p>
      <w:pPr>
        <w:pStyle w:val="BodyText"/>
        <w:rPr/>
      </w:pPr>
      <w:bookmarkStart w:id="168" w:name="_DV_M126"/>
      <w:bookmarkEnd w:id="168"/>
      <w:r>
        <w:rPr>
          <w:b/>
          <w:bCs/>
          <w:i/>
          <w:iCs/>
          <w:color w:val="000000"/>
        </w:rPr>
        <w:t xml:space="preserve">Financing Companies:  </w:t>
      </w:r>
      <w:r>
        <w:rPr>
          <w:color w:val="000000"/>
        </w:rPr>
        <w:t>Collectively, EPE Holdings, GasBol, and GasMat Holdings.  Each of the Financing Companies may be referred to herein as a Financing Company.</w:t>
      </w:r>
    </w:p>
    <w:p>
      <w:pPr>
        <w:pStyle w:val="BodyText"/>
        <w:rPr/>
      </w:pPr>
      <w:bookmarkStart w:id="169" w:name="_DV_M127"/>
      <w:bookmarkEnd w:id="169"/>
      <w:r>
        <w:rPr>
          <w:b/>
          <w:bCs/>
          <w:i/>
          <w:iCs/>
          <w:color w:val="000000"/>
        </w:rPr>
        <w:t>Force Majeure Claims</w:t>
      </w:r>
      <w:r>
        <w:rPr>
          <w:color w:val="000000"/>
        </w:rPr>
        <w:t xml:space="preserve">:  The force majeure claims under the Power Purchase Agreement relating to the following  (i) construction delays on the gas pipeline as described in the letter of February 10, 2000 (the </w:t>
      </w:r>
      <w:r>
        <w:rPr>
          <w:b/>
          <w:bCs/>
          <w:i/>
          <w:iCs/>
          <w:color w:val="000000"/>
        </w:rPr>
        <w:t>Caves Letter</w:t>
      </w:r>
      <w:r>
        <w:rPr>
          <w:color w:val="000000"/>
        </w:rPr>
        <w:t>) from Laine Powell to Dr. Adelino Rodriquez of Furnas Centrais Elétricas (</w:t>
      </w:r>
      <w:r>
        <w:rPr>
          <w:b/>
          <w:bCs/>
          <w:i/>
          <w:iCs/>
          <w:color w:val="000000"/>
        </w:rPr>
        <w:t>Furnas</w:t>
      </w:r>
      <w:r>
        <w:rPr>
          <w:color w:val="000000"/>
        </w:rPr>
        <w:t xml:space="preserve">), (ii) construction delays resulting from the Bolivian government's delay in granting authorization for the pipeline construction to the Bolivian-Brazilian border (the </w:t>
      </w:r>
      <w:r>
        <w:rPr>
          <w:b/>
          <w:bCs/>
          <w:i/>
          <w:iCs/>
          <w:color w:val="000000"/>
        </w:rPr>
        <w:t>50 Kilometer Law</w:t>
      </w:r>
      <w:r>
        <w:rPr>
          <w:color w:val="000000"/>
        </w:rPr>
        <w:t xml:space="preserve">) as more fully described in the letter of December 17, 1999 (the </w:t>
      </w:r>
      <w:r>
        <w:rPr>
          <w:b/>
          <w:bCs/>
          <w:i/>
          <w:iCs/>
          <w:color w:val="000000"/>
        </w:rPr>
        <w:t>50</w:t>
      </w:r>
      <w:r>
        <w:rPr>
          <w:color w:val="000000"/>
        </w:rPr>
        <w:t xml:space="preserve"> </w:t>
      </w:r>
      <w:r>
        <w:rPr>
          <w:b/>
          <w:bCs/>
          <w:i/>
          <w:iCs/>
          <w:color w:val="000000"/>
        </w:rPr>
        <w:t>Kilometer Law Letter</w:t>
      </w:r>
      <w:r>
        <w:rPr>
          <w:color w:val="000000"/>
        </w:rPr>
        <w:t>) from Laine Powell to Furnas, and (iii) [_____].</w:t>
      </w:r>
    </w:p>
    <w:p>
      <w:pPr>
        <w:pStyle w:val="BodyText"/>
        <w:rPr/>
      </w:pPr>
      <w:bookmarkStart w:id="170" w:name="_DV_M128"/>
      <w:bookmarkEnd w:id="170"/>
      <w:r>
        <w:rPr>
          <w:b/>
          <w:bCs/>
          <w:i/>
          <w:iCs/>
          <w:color w:val="000000"/>
        </w:rPr>
        <w:t>Fuel Oil Reimbursement Amount</w:t>
      </w:r>
      <w:r>
        <w:rPr>
          <w:color w:val="000000"/>
        </w:rPr>
        <w:t>:  As defined in Section 2.1(b).</w:t>
      </w:r>
    </w:p>
    <w:p>
      <w:pPr>
        <w:pStyle w:val="BodyText"/>
        <w:rPr/>
      </w:pPr>
      <w:bookmarkStart w:id="171" w:name="_DV_M129"/>
      <w:bookmarkEnd w:id="171"/>
      <w:r>
        <w:rPr>
          <w:b/>
          <w:bCs/>
          <w:i/>
          <w:iCs/>
          <w:color w:val="000000"/>
        </w:rPr>
        <w:t>Guaranteed Obligations:</w:t>
      </w:r>
      <w:r>
        <w:rPr>
          <w:color w:val="000000"/>
        </w:rPr>
        <w:t xml:space="preserve"> As defined in Section 4.1.</w:t>
      </w:r>
    </w:p>
    <w:p>
      <w:pPr>
        <w:pStyle w:val="BodyText"/>
        <w:keepNext w:val="true"/>
        <w:keepLines/>
        <w:rPr/>
      </w:pPr>
      <w:bookmarkStart w:id="172" w:name="_DV_M130"/>
      <w:bookmarkEnd w:id="172"/>
      <w:r>
        <w:rPr>
          <w:b/>
          <w:bCs/>
          <w:i/>
          <w:iCs/>
          <w:color w:val="000000"/>
        </w:rPr>
        <w:t>Guarantee Amounts:</w:t>
      </w:r>
      <w:r>
        <w:rPr>
          <w:color w:val="000000"/>
        </w:rPr>
        <w:t xml:space="preserve"> With respect to each of the following Sponsors, the following respective amounts:</w:t>
      </w:r>
    </w:p>
    <w:p>
      <w:pPr>
        <w:pStyle w:val="BodyText"/>
        <w:keepNext w:val="true"/>
        <w:keepLines/>
        <w:ind w:hanging="720" w:start="720" w:end="0"/>
        <w:rPr/>
      </w:pPr>
      <w:bookmarkStart w:id="173" w:name="_DV_M131"/>
      <w:bookmarkEnd w:id="173"/>
      <w:r>
        <w:rPr>
          <w:color w:val="000000"/>
        </w:rPr>
        <w:t>(a)</w:t>
        <w:tab/>
        <w:t>Enron Corp., U.S</w:t>
      </w:r>
      <w:r>
        <w:rPr>
          <w:b/>
          <w:bCs/>
          <w:color w:val="000000"/>
        </w:rPr>
        <w:t>.$[________</w:t>
      </w:r>
      <w:r>
        <w:rPr>
          <w:color w:val="000000"/>
        </w:rPr>
        <w:t>], and</w:t>
      </w:r>
    </w:p>
    <w:p>
      <w:pPr>
        <w:pStyle w:val="BodyText"/>
        <w:ind w:hanging="720" w:start="720" w:end="0"/>
        <w:rPr/>
      </w:pPr>
      <w:bookmarkStart w:id="174" w:name="_DV_M132"/>
      <w:bookmarkEnd w:id="174"/>
      <w:r>
        <w:rPr>
          <w:color w:val="000000"/>
        </w:rPr>
        <w:t>(b)</w:t>
        <w:tab/>
        <w:t>SOTL, U.S</w:t>
      </w:r>
      <w:r>
        <w:rPr>
          <w:b/>
          <w:bCs/>
          <w:color w:val="000000"/>
        </w:rPr>
        <w:t>.$[______]</w:t>
      </w:r>
      <w:r>
        <w:rPr>
          <w:color w:val="000000"/>
        </w:rPr>
        <w:t>.</w:t>
      </w:r>
    </w:p>
    <w:p>
      <w:pPr>
        <w:pStyle w:val="BodyText"/>
        <w:rPr/>
      </w:pPr>
      <w:bookmarkStart w:id="175" w:name="_DV_M133"/>
      <w:bookmarkEnd w:id="175"/>
      <w:r>
        <w:rPr>
          <w:b/>
          <w:bCs/>
          <w:i/>
          <w:iCs/>
          <w:color w:val="000000"/>
        </w:rPr>
        <w:t>International Industry Standards</w:t>
      </w:r>
      <w:r>
        <w:rPr>
          <w:color w:val="000000"/>
        </w:rPr>
        <w:t xml:space="preserve">:  Such practices and procedures employed generally in the thermoelectric industry or natural gas pipeline industry (as the case may be) throughout the world by prudent and diligent operators under conditions and circumstances similar to those experienced in connection with the relevant aspect or aspects of the Project Facilities.   </w:t>
      </w:r>
    </w:p>
    <w:p>
      <w:pPr>
        <w:pStyle w:val="BodyText"/>
        <w:rPr/>
      </w:pPr>
      <w:bookmarkStart w:id="176" w:name="_DV_M134"/>
      <w:bookmarkEnd w:id="176"/>
      <w:r>
        <w:rPr>
          <w:b/>
          <w:bCs/>
          <w:i/>
          <w:iCs/>
          <w:color w:val="000000"/>
        </w:rPr>
        <w:t>Litigation Payment</w:t>
      </w:r>
      <w:r>
        <w:rPr>
          <w:color w:val="000000"/>
        </w:rPr>
        <w:t>:  As defined in Section 10.12.</w:t>
      </w:r>
    </w:p>
    <w:p>
      <w:pPr>
        <w:pStyle w:val="Normal"/>
        <w:spacing w:lineRule="exact" w:line="288" w:before="0" w:after="288"/>
        <w:jc w:val="both"/>
        <w:rPr/>
      </w:pPr>
      <w:bookmarkStart w:id="177" w:name="_DV_M135"/>
      <w:bookmarkEnd w:id="177"/>
      <w:r>
        <w:rPr>
          <w:b/>
          <w:bCs/>
          <w:i/>
          <w:iCs/>
          <w:color w:val="000000"/>
        </w:rPr>
        <w:t>Permitted Third Party Transfer</w:t>
      </w:r>
      <w:r>
        <w:rPr>
          <w:i/>
          <w:iCs/>
          <w:color w:val="000000"/>
        </w:rPr>
        <w:t>:</w:t>
      </w:r>
      <w:r>
        <w:rPr>
          <w:color w:val="000000"/>
        </w:rPr>
        <w:t xml:space="preserve"> A Transfer to a Permitted Investor after the</w:t>
      </w:r>
      <w:r>
        <w:rPr>
          <w:b/>
          <w:bCs/>
          <w:color w:val="000000"/>
        </w:rPr>
        <w:t xml:space="preserve"> </w:t>
      </w:r>
      <w:r>
        <w:rPr>
          <w:color w:val="000000"/>
        </w:rPr>
        <w:t>Project Completion Date</w:t>
      </w:r>
      <w:r>
        <w:rPr>
          <w:b/>
          <w:bCs/>
          <w:color w:val="000000"/>
        </w:rPr>
        <w:t xml:space="preserve"> </w:t>
      </w:r>
      <w:r>
        <w:rPr>
          <w:color w:val="000000"/>
        </w:rPr>
        <w:t xml:space="preserve">of a direct or indirect interest in any Borrower; </w:t>
      </w:r>
      <w:r>
        <w:rPr>
          <w:b/>
          <w:bCs/>
          <w:i/>
          <w:iCs/>
          <w:color w:val="000000"/>
        </w:rPr>
        <w:t>provided</w:t>
      </w:r>
      <w:r>
        <w:rPr>
          <w:color w:val="000000"/>
        </w:rPr>
        <w:t xml:space="preserve"> that after giving effect to such Transfer and, with respect to paragraph (a) below, at all times thereafter:</w:t>
      </w:r>
    </w:p>
    <w:p>
      <w:pPr>
        <w:pStyle w:val="Normal"/>
        <w:spacing w:lineRule="exact" w:line="288" w:before="0" w:after="288"/>
        <w:ind w:hanging="720" w:start="720" w:end="0"/>
        <w:rPr>
          <w:color w:val="000000"/>
        </w:rPr>
      </w:pPr>
      <w:bookmarkStart w:id="178" w:name="_DV_M136"/>
      <w:bookmarkEnd w:id="178"/>
      <w:r>
        <w:rPr>
          <w:color w:val="000000"/>
        </w:rPr>
        <w:t>(a)</w:t>
        <w:tab/>
        <w:t>No Change of Control shall have occurred;</w:t>
      </w:r>
    </w:p>
    <w:p>
      <w:pPr>
        <w:pStyle w:val="Normal"/>
        <w:spacing w:lineRule="exact" w:line="288" w:before="0" w:after="288"/>
        <w:ind w:hanging="720" w:start="720" w:end="0"/>
        <w:jc w:val="both"/>
        <w:rPr/>
      </w:pPr>
      <w:bookmarkStart w:id="179" w:name="_DV_M137"/>
      <w:bookmarkEnd w:id="179"/>
      <w:r>
        <w:rPr>
          <w:color w:val="000000"/>
        </w:rPr>
        <w:t>(b)</w:t>
        <w:tab/>
        <w:t>such Permitted Investor confirms in writing to the Common Agent for the benefit of the Secured Parties that (</w:t>
      </w:r>
      <w:r>
        <w:rPr>
          <w:color w:val="000000"/>
          <w:lang w:val="en-CA" w:eastAsia="en-CA"/>
        </w:rPr>
        <w:t>i</w:t>
      </w:r>
      <w:r>
        <w:rPr>
          <w:color w:val="000000"/>
        </w:rPr>
        <w:t>) it shall not, and shall not permit any, Transfer of its direct or indirect ownership interest in any of its equity interests in such Borrower or any Shareholder Subordinated Loans of such Borrower other than a Permitted Transfer, (ii) it has assumed, pursuant to a written instrument in form and substance satisfactory to the Lenders, the portion of the obligations under this Agreement from which the relevant Shareholder or Sponsor has been released pursuant hereto,  (iii) all quotas in such Borrower then owned or thereafter acquired by it shall be subject to the pledge created pursuant to the applicable Security Document, (iv) it is not the subject of any pending or threatened litigation, investigation or administrative proceeding brought by the Securities and Exchange Commission or any other governmental agency or authority responsible for enforcing the securities laws, and (v) no event has occurred and no condition exists that is likely to result in the debarment or suspension of such Permitted Investor from contracting with the U.S. Government or any agency or instrumentality thereof, and such Permitted Investor is not now and has not been subject to any such debarment or suspension; and</w:t>
      </w:r>
    </w:p>
    <w:p>
      <w:pPr>
        <w:pStyle w:val="a"/>
        <w:spacing w:lineRule="exact" w:line="288" w:before="0" w:after="288"/>
        <w:rPr>
          <w:color w:val="000000"/>
        </w:rPr>
      </w:pPr>
      <w:bookmarkStart w:id="180" w:name="_DV_M138"/>
      <w:bookmarkEnd w:id="180"/>
      <w:r>
        <w:rPr>
          <w:color w:val="000000"/>
        </w:rPr>
        <w:t>(c)</w:t>
        <w:tab/>
        <w:t>after giving effect to such Transfer, no Default or Event of Default shall have occurred and be continuing.</w:t>
      </w:r>
    </w:p>
    <w:p>
      <w:pPr>
        <w:pStyle w:val="BodyText"/>
        <w:spacing w:lineRule="exact" w:line="288" w:before="0" w:after="288"/>
        <w:rPr>
          <w:color w:val="000000"/>
        </w:rPr>
      </w:pPr>
      <w:bookmarkStart w:id="181" w:name="_DV_M139"/>
      <w:bookmarkEnd w:id="181"/>
      <w:r>
        <w:rPr>
          <w:color w:val="000000"/>
        </w:rPr>
        <w:t>Unless otherwise agreed by the Required Lenders, the relevant Sponsor, and its Related Shareholder, and at the time of any Permitted Third Party Transfer, shall confirm to the Common Agent for the benefit of the Secured Parties in writing that they shall, remain liable for all of their obligations under the Financing Documents to which they are a party notwithstanding any Permitted Third Party Transfer.</w:t>
      </w:r>
    </w:p>
    <w:p>
      <w:pPr>
        <w:pStyle w:val="Normal"/>
        <w:spacing w:lineRule="exact" w:line="288" w:before="0" w:after="288"/>
        <w:rPr/>
      </w:pPr>
      <w:bookmarkStart w:id="182" w:name="_DV_M140"/>
      <w:bookmarkEnd w:id="182"/>
      <w:r>
        <w:rPr>
          <w:b/>
          <w:bCs/>
          <w:i/>
          <w:iCs/>
          <w:color w:val="000000"/>
        </w:rPr>
        <w:t>Permitted Transfer:</w:t>
      </w:r>
      <w:r>
        <w:rPr>
          <w:i/>
          <w:iCs/>
          <w:color w:val="000000"/>
        </w:rPr>
        <w:t xml:space="preserve">  </w:t>
      </w:r>
      <w:r>
        <w:rPr>
          <w:color w:val="000000"/>
        </w:rPr>
        <w:t xml:space="preserve"> As defined in Section 7.2(a).</w:t>
      </w:r>
    </w:p>
    <w:p>
      <w:pPr>
        <w:pStyle w:val="Normal"/>
        <w:spacing w:lineRule="exact" w:line="288" w:before="0" w:after="288"/>
        <w:rPr/>
      </w:pPr>
      <w:bookmarkStart w:id="183" w:name="_DV_M141"/>
      <w:bookmarkEnd w:id="183"/>
      <w:r>
        <w:rPr>
          <w:b/>
          <w:bCs/>
          <w:i/>
          <w:iCs/>
          <w:color w:val="000000"/>
        </w:rPr>
        <w:t xml:space="preserve">Permitted Transferee:  </w:t>
      </w:r>
      <w:r>
        <w:rPr>
          <w:color w:val="000000"/>
        </w:rPr>
        <w:t>A Person to whom a Permitted Transfer has been made.</w:t>
      </w:r>
    </w:p>
    <w:p>
      <w:pPr>
        <w:pStyle w:val="Normal"/>
        <w:spacing w:lineRule="exact" w:line="288" w:before="0" w:after="288"/>
        <w:rPr/>
      </w:pPr>
      <w:bookmarkStart w:id="184" w:name="_DV_M142"/>
      <w:bookmarkEnd w:id="184"/>
      <w:r>
        <w:rPr>
          <w:b/>
          <w:bCs/>
          <w:i/>
          <w:iCs/>
          <w:color w:val="000000"/>
        </w:rPr>
        <w:t>Petrobras Letter of Credit</w:t>
      </w:r>
      <w:r>
        <w:rPr>
          <w:color w:val="000000"/>
        </w:rPr>
        <w:t>:  The letter of credit issued by [_____] in favor of Petrobr</w:t>
      </w:r>
      <w:r>
        <w:rPr>
          <w:rFonts w:eastAsia="Times New Roman"/>
          <w:color w:val="000000"/>
        </w:rPr>
        <w:t>á</w:t>
      </w:r>
      <w:r>
        <w:rPr>
          <w:color w:val="000000"/>
        </w:rPr>
        <w:t>s pursuant to the letter agreement dated [_____] from Petrobr</w:t>
      </w:r>
      <w:r>
        <w:rPr>
          <w:rFonts w:eastAsia="Times New Roman"/>
          <w:color w:val="000000"/>
        </w:rPr>
        <w:t>á</w:t>
      </w:r>
      <w:r>
        <w:rPr>
          <w:color w:val="000000"/>
        </w:rPr>
        <w:t xml:space="preserve">s and BR addressed to EPE.  </w:t>
      </w:r>
    </w:p>
    <w:p>
      <w:pPr>
        <w:pStyle w:val="Normal"/>
        <w:spacing w:lineRule="exact" w:line="288" w:before="0" w:after="288"/>
        <w:jc w:val="both"/>
        <w:rPr>
          <w:b/>
          <w:bCs/>
          <w:i/>
          <w:i/>
          <w:iCs/>
          <w:color w:val="000000"/>
        </w:rPr>
      </w:pPr>
      <w:bookmarkStart w:id="185" w:name="_DV_M143"/>
      <w:bookmarkEnd w:id="185"/>
      <w:r>
        <w:rPr>
          <w:b/>
          <w:bCs/>
          <w:i/>
          <w:iCs/>
          <w:color w:val="000000"/>
        </w:rPr>
        <w:t xml:space="preserve">Principal Subsidiaries:  </w:t>
      </w:r>
      <w:r>
        <w:rPr>
          <w:color w:val="000000"/>
        </w:rPr>
        <w:t xml:space="preserve">As of any date of determination, any Subsidiary of Enron Corp. having consolidated assets (less any debt of such Subsidiary and any of such Subsidiary's consolidated Subsidiaries with respect to which Enron Corp. has not guaranteed payment) equal to or greater than 5% of Enron Corp's consolidated assets </w:t>
      </w:r>
      <w:r>
        <w:rPr>
          <w:b/>
          <w:bCs/>
          <w:i/>
          <w:iCs/>
          <w:color w:val="000000"/>
        </w:rPr>
        <w:t>provided</w:t>
      </w:r>
      <w:r>
        <w:rPr>
          <w:color w:val="000000"/>
        </w:rPr>
        <w:t xml:space="preserve"> that, as of any date of determination, each of the following named entities shall be deemed to be a Principal Subsidiary (but only if such entity is a "Subsidiary" of Enron Corp. as of such date of determination) without regard to the consolidated assets test described above in this definition:  Houston Pipe Line Company, Transwestern Pipeline Company, Northern Natural Gas Company, Enron Capital &amp; Trade Resources Corp., and Enron Pipeline Company.  For purposes of this definition, (a) consolidated assets of a Subsidiary shall be determined based on the most recent quarterly or annual consolidated financial statements of such Subsidiary available prior to such determination, and (b) consolidated assets of Enron Corp. shall be determined based on the most recent quarterly or annual consolidated financial statements of Enron Corp. available prior to such determination.</w:t>
      </w:r>
    </w:p>
    <w:p>
      <w:pPr>
        <w:pStyle w:val="Normal"/>
        <w:rPr/>
      </w:pPr>
      <w:bookmarkStart w:id="186" w:name="_DV_M144"/>
      <w:bookmarkEnd w:id="186"/>
      <w:r>
        <w:rPr>
          <w:b/>
          <w:bCs/>
          <w:i/>
          <w:iCs/>
          <w:color w:val="000000"/>
        </w:rPr>
        <w:t xml:space="preserve">Project Completion:   </w:t>
      </w:r>
      <w:r>
        <w:rPr>
          <w:color w:val="000000"/>
        </w:rPr>
        <w:t>As defined in Section 2.2.</w:t>
      </w:r>
    </w:p>
    <w:p>
      <w:pPr>
        <w:pStyle w:val="Normal"/>
        <w:rPr/>
      </w:pPr>
      <w:bookmarkStart w:id="187" w:name="_DV_M145"/>
      <w:bookmarkEnd w:id="187"/>
      <w:r>
        <w:rPr>
          <w:b/>
          <w:bCs/>
          <w:i/>
          <w:iCs/>
          <w:color w:val="000000"/>
        </w:rPr>
        <w:t xml:space="preserve">Project Completion Date:   </w:t>
      </w:r>
      <w:r>
        <w:rPr>
          <w:color w:val="000000"/>
        </w:rPr>
        <w:t>As defined in Section 2.2.</w:t>
      </w:r>
    </w:p>
    <w:p>
      <w:pPr>
        <w:pStyle w:val="BodyText"/>
        <w:rPr>
          <w:i/>
          <w:i/>
          <w:iCs/>
          <w:color w:val="000000"/>
        </w:rPr>
      </w:pPr>
      <w:bookmarkStart w:id="188" w:name="_DV_M146"/>
      <w:bookmarkEnd w:id="188"/>
      <w:r>
        <w:rPr>
          <w:b/>
          <w:bCs/>
          <w:i/>
          <w:iCs/>
          <w:color w:val="000000"/>
        </w:rPr>
        <w:t>Project Facilities</w:t>
      </w:r>
      <w:r>
        <w:rPr>
          <w:i/>
          <w:iCs/>
          <w:color w:val="000000"/>
        </w:rPr>
        <w:t>:</w:t>
      </w:r>
      <w:r>
        <w:rPr>
          <w:b/>
          <w:bCs/>
          <w:color w:val="000000"/>
        </w:rPr>
        <w:t xml:space="preserve">  </w:t>
      </w:r>
      <w:r>
        <w:rPr>
          <w:color w:val="000000"/>
        </w:rPr>
        <w:t>The Power Plant, the Transmission Lines, the Bolivian Pipeline, and the Brazilian Pipeline (and all related storage, water, and sewerage treatment and discharge facilities, fixtures, attachments, and other related facilities).</w:t>
      </w:r>
    </w:p>
    <w:p>
      <w:pPr>
        <w:pStyle w:val="BodyText"/>
        <w:rPr/>
      </w:pPr>
      <w:bookmarkStart w:id="189" w:name="_DV_M147"/>
      <w:bookmarkEnd w:id="189"/>
      <w:r>
        <w:rPr>
          <w:b/>
          <w:bCs/>
          <w:i/>
          <w:iCs/>
          <w:color w:val="000000"/>
        </w:rPr>
        <w:t xml:space="preserve">Prudent Industry Practice: </w:t>
      </w:r>
      <w:r>
        <w:rPr>
          <w:b/>
          <w:bCs/>
          <w:color w:val="000000"/>
        </w:rPr>
        <w:t xml:space="preserve">  </w:t>
      </w:r>
      <w:r>
        <w:rPr>
          <w:color w:val="000000"/>
        </w:rPr>
        <w:t>The practices, methods, techniques, and standards that at the particular time of performance of the relevant services (i) are generally accepted in the thermoelectric power industry in Brazil (in the case of the Power Plant) and the natural gas pipeline industry in Bolivia and Brazil (in the case of the Project Pipelines) and (if International Industry Standards are more stringent) International Industry Standards, for use in connection with the design, engineering, construction, testing, operation, and maintenance of power stations and pipelines of the same or similar size and type as the Power Plant and the Project Pipelines, all in a manner consistent with Applicable Laws, the World Bank Guidelines, reliability, and safety,  and (ii) conform in all material respects to the manufacturer's guidelines applicable to the type of equipment in question.  Prudent Industry Practices are not limited to the optimum practice or method to the exclusion of others, but rather refer to the spectrum of commonly used and reasonable practices and methods.</w:t>
      </w:r>
    </w:p>
    <w:p>
      <w:pPr>
        <w:pStyle w:val="BodyText"/>
        <w:rPr/>
      </w:pPr>
      <w:bookmarkStart w:id="190" w:name="_DV_M148"/>
      <w:bookmarkEnd w:id="190"/>
      <w:r>
        <w:rPr>
          <w:b/>
          <w:bCs/>
          <w:i/>
          <w:iCs/>
          <w:color w:val="000000"/>
        </w:rPr>
        <w:t xml:space="preserve">Related Companies:  </w:t>
      </w:r>
      <w:r>
        <w:rPr>
          <w:color w:val="000000"/>
        </w:rPr>
        <w:t xml:space="preserve">With respect to each Shareholder and any Permitted Transferee thereof, each Financing Company in which such Shareholder or Permitted Transferee directly or indirectly owns equity interests; </w:t>
      </w:r>
      <w:r>
        <w:rPr>
          <w:b/>
          <w:bCs/>
          <w:i/>
          <w:iCs/>
          <w:color w:val="000000"/>
        </w:rPr>
        <w:t>provided</w:t>
      </w:r>
      <w:r>
        <w:rPr>
          <w:color w:val="000000"/>
        </w:rPr>
        <w:t xml:space="preserve"> that for purposes of Sections 2.1(a) and (b), if Uncovered Project Costs are due and payable by EPE or GasMat on any date on which Equity Contribution are due hereunder, the EPE Shareholders and the GasMat Shareholders may satisfy their obligations to make Equity Contributions to EPE Holdings or GasMat Holdings (as the case may be) on such date by causing subordinated loans that are Shareholder Subordinated Debt to be made to EPE or GasMat (as the case may be) on such date.</w:t>
      </w:r>
    </w:p>
    <w:p>
      <w:pPr>
        <w:pStyle w:val="BodyText"/>
        <w:rPr/>
      </w:pPr>
      <w:bookmarkStart w:id="191" w:name="_DV_M149"/>
      <w:bookmarkEnd w:id="191"/>
      <w:r>
        <w:rPr>
          <w:b/>
          <w:bCs/>
          <w:i/>
          <w:iCs/>
          <w:color w:val="000000"/>
        </w:rPr>
        <w:t>Related Shareholder</w:t>
      </w:r>
      <w:r>
        <w:rPr>
          <w:color w:val="000000"/>
        </w:rPr>
        <w:t>:  (a) In the case of Enron Corp.:  Enron Holdings, EBPH, and EIBH, and (b) in the case of SOTL:  SGLA and SCHL, and, in each case, any Permitted Transferees thereof.</w:t>
      </w:r>
    </w:p>
    <w:p>
      <w:pPr>
        <w:pStyle w:val="BodyText"/>
        <w:rPr/>
      </w:pPr>
      <w:bookmarkStart w:id="192" w:name="_DV_M150"/>
      <w:bookmarkEnd w:id="192"/>
      <w:r>
        <w:rPr>
          <w:b/>
          <w:bCs/>
          <w:i/>
          <w:iCs/>
          <w:color w:val="000000"/>
        </w:rPr>
        <w:t>Required Equity:</w:t>
      </w:r>
      <w:r>
        <w:rPr>
          <w:color w:val="000000"/>
        </w:rPr>
        <w:t xml:space="preserve">  For any date on or prior to the Project Completion Date, an amount of Equity which would result in a Debt to Equity Ratio as of such date of not more than 65:35.</w:t>
      </w:r>
    </w:p>
    <w:p>
      <w:pPr>
        <w:pStyle w:val="BodyText"/>
        <w:rPr/>
      </w:pPr>
      <w:bookmarkStart w:id="193" w:name="_DV_M151"/>
      <w:bookmarkEnd w:id="193"/>
      <w:r>
        <w:rPr>
          <w:b/>
          <w:bCs/>
          <w:i/>
          <w:iCs/>
          <w:color w:val="000000"/>
        </w:rPr>
        <w:t xml:space="preserve">Shareholder Subordinated Debt:  </w:t>
      </w:r>
      <w:r>
        <w:rPr>
          <w:color w:val="000000"/>
        </w:rPr>
        <w:t xml:space="preserve">For any Borrower, "Shareholder Subordinated Debt" as defined in the Common Terms Agreement, and for either EPE Holdings or GasMat Holdings, its Indebtedness that is subordinated on substantially the terms set forth in Exhibit I to the Common Agreement, except that any reference to any Borrower in such Exhibit I shall be to EPE Holdings or GasMat Holdings (as the case may be) and "Senior Indebtedness" shall mean the indebtedness of such Financing Company under its guarantee of the Borrowers' indebtedness to the Lenders under the Financing Documents.  </w:t>
      </w:r>
    </w:p>
    <w:p>
      <w:pPr>
        <w:pStyle w:val="BodyText"/>
        <w:rPr/>
      </w:pPr>
      <w:bookmarkStart w:id="194" w:name="_DV_M152"/>
      <w:bookmarkEnd w:id="194"/>
      <w:r>
        <w:rPr>
          <w:b/>
          <w:bCs/>
          <w:i/>
          <w:iCs/>
          <w:color w:val="000000"/>
        </w:rPr>
        <w:t xml:space="preserve">Transfer:  </w:t>
      </w:r>
      <w:r>
        <w:rPr>
          <w:color w:val="000000"/>
        </w:rPr>
        <w:t>As defined in Section 7.2(a).</w:t>
      </w:r>
    </w:p>
    <w:p>
      <w:pPr>
        <w:pStyle w:val="BodyText"/>
        <w:rPr/>
      </w:pPr>
      <w:bookmarkStart w:id="195" w:name="_DV_M153"/>
      <w:bookmarkEnd w:id="195"/>
      <w:r>
        <w:rPr>
          <w:b/>
          <w:bCs/>
          <w:i/>
          <w:iCs/>
          <w:color w:val="000000"/>
        </w:rPr>
        <w:t xml:space="preserve">Unbudgeted Contingent Amount:  </w:t>
      </w:r>
      <w:r>
        <w:rPr>
          <w:color w:val="000000"/>
        </w:rPr>
        <w:t xml:space="preserve"> As defined in Section 2.1(b).  </w:t>
      </w:r>
    </w:p>
    <w:p>
      <w:pPr>
        <w:pStyle w:val="BodyText"/>
        <w:rPr/>
      </w:pPr>
      <w:bookmarkStart w:id="196" w:name="_DV_M154"/>
      <w:bookmarkEnd w:id="196"/>
      <w:r>
        <w:rPr>
          <w:b/>
          <w:bCs/>
          <w:i/>
          <w:iCs/>
          <w:color w:val="000000"/>
        </w:rPr>
        <w:t>Uncovered Project Costs:</w:t>
      </w:r>
      <w:r>
        <w:rPr>
          <w:color w:val="000000"/>
        </w:rPr>
        <w:t xml:space="preserve">  As of any date, after giving effect to the application of the proceeds of the Advances on the Closing Date, Project Costs due and payable as of such date in an amount in excess of the unused Commitments</w:t>
      </w:r>
      <w:r>
        <w:rPr>
          <w:rStyle w:val="FootnoteCharacters"/>
          <w:rStyle w:val="FootnoteReference"/>
          <w:color w:val="000000"/>
        </w:rPr>
        <w:footnoteReference w:id="4"/>
      </w:r>
      <w:bookmarkStart w:id="197" w:name="_DV_M155"/>
      <w:bookmarkEnd w:id="197"/>
      <w:r>
        <w:rPr>
          <w:color w:val="000000"/>
        </w:rPr>
        <w:t xml:space="preserve"> that are available as of such date to pay such Project Costs in accordance with the Loan Agreements.</w:t>
      </w:r>
    </w:p>
    <w:p>
      <w:pPr>
        <w:pStyle w:val="Heading3"/>
        <w:ind w:hanging="0" w:start="0"/>
        <w:rPr>
          <w:color w:val="000000"/>
        </w:rPr>
      </w:pPr>
      <w:bookmarkStart w:id="198" w:name="__RefHeading___Toc490591556"/>
      <w:bookmarkStart w:id="199" w:name="_DV_M156"/>
      <w:bookmarkEnd w:id="198"/>
      <w:bookmarkEnd w:id="199"/>
      <w:r>
        <w:rPr>
          <w:color w:val="000000"/>
        </w:rPr>
        <w:t>1.2</w:t>
        <w:tab/>
        <w:t>Interpretation.</w:t>
      </w:r>
    </w:p>
    <w:p>
      <w:pPr>
        <w:pStyle w:val="BodyText"/>
        <w:rPr>
          <w:color w:val="000000"/>
        </w:rPr>
      </w:pPr>
      <w:bookmarkStart w:id="200" w:name="_DV_M157"/>
      <w:bookmarkEnd w:id="200"/>
      <w:r>
        <w:rPr>
          <w:color w:val="000000"/>
        </w:rPr>
        <w:t>Except as otherwise expressly provided herein, the rules for interpretation set forth in Exhibit B to the Common Agreement shall apply to this Agreement.</w:t>
      </w:r>
    </w:p>
    <w:p>
      <w:pPr>
        <w:pStyle w:val="Heading2"/>
        <w:ind w:hanging="0" w:start="0"/>
        <w:rPr>
          <w:b w:val="false"/>
          <w:bCs/>
          <w:color w:val="000000"/>
        </w:rPr>
      </w:pPr>
      <w:bookmarkStart w:id="201" w:name="__RefHeading___Toc490591557"/>
      <w:bookmarkStart w:id="202" w:name="_DV_M158"/>
      <w:bookmarkEnd w:id="201"/>
      <w:bookmarkEnd w:id="202"/>
      <w:r>
        <w:rPr>
          <w:color w:val="000000"/>
        </w:rPr>
        <w:t>ARTICLE 2.  Equity Contributions</w:t>
      </w:r>
      <w:r>
        <w:rPr>
          <w:b w:val="false"/>
          <w:bCs/>
          <w:color w:val="000000"/>
        </w:rPr>
        <w:t xml:space="preserve">; </w:t>
      </w:r>
      <w:r>
        <w:rPr>
          <w:color w:val="000000"/>
        </w:rPr>
        <w:t>Project Completion</w:t>
      </w:r>
    </w:p>
    <w:p>
      <w:pPr>
        <w:pStyle w:val="Heading3"/>
        <w:ind w:hanging="0" w:start="0"/>
        <w:rPr>
          <w:color w:val="000000"/>
        </w:rPr>
      </w:pPr>
      <w:bookmarkStart w:id="203" w:name="__RefHeading___Toc490591558"/>
      <w:bookmarkStart w:id="204" w:name="_DV_M159"/>
      <w:bookmarkEnd w:id="203"/>
      <w:bookmarkEnd w:id="204"/>
      <w:r>
        <w:rPr>
          <w:color w:val="000000"/>
        </w:rPr>
        <w:t>2.1</w:t>
        <w:tab/>
        <w:t>Undertaking to Make Equity Contributions.</w:t>
      </w:r>
    </w:p>
    <w:p>
      <w:pPr>
        <w:pStyle w:val="a"/>
        <w:tabs>
          <w:tab w:val="left" w:pos="720" w:leader="none"/>
        </w:tabs>
        <w:rPr/>
      </w:pPr>
      <w:bookmarkStart w:id="205" w:name="_DV_M160"/>
      <w:bookmarkEnd w:id="205"/>
      <w:r>
        <w:rPr>
          <w:color w:val="000000"/>
        </w:rPr>
        <w:t>(a)</w:t>
        <w:tab/>
      </w:r>
      <w:r>
        <w:rPr>
          <w:b/>
          <w:bCs/>
          <w:color w:val="000000"/>
        </w:rPr>
        <w:t>Base Equity Contributions</w:t>
      </w:r>
      <w:r>
        <w:rPr>
          <w:color w:val="000000"/>
        </w:rPr>
        <w:t xml:space="preserve">. Subject to the terms and conditions hereof, not later than [    ] a.m. on each Equity Contribution Date, each Shareholder or its Permitted Transferee shall make an Equity Contribution to each of its Related Companies in an amount equal to its Equity Commitment Percentage for such Related Company </w:t>
      </w:r>
      <w:r>
        <w:rPr>
          <w:color w:val="000000"/>
          <w:u w:val="single"/>
        </w:rPr>
        <w:t>multiplied</w:t>
      </w:r>
      <w:r>
        <w:rPr>
          <w:color w:val="000000"/>
        </w:rPr>
        <w:t xml:space="preserve"> by the amount of the Equity Contributions to be made to such Related Company on such Equity Contribution Date in accordance with Schedule I hereto; </w:t>
      </w:r>
      <w:r>
        <w:rPr>
          <w:b/>
          <w:bCs/>
          <w:i/>
          <w:iCs/>
          <w:color w:val="000000"/>
        </w:rPr>
        <w:t xml:space="preserve">provided </w:t>
      </w:r>
      <w:r>
        <w:rPr>
          <w:color w:val="000000"/>
        </w:rPr>
        <w:t xml:space="preserve">that on any date after the Closing Date on which a Borrower has Uncovered Project Costs that are due and payable after giving effect to the application of the proceeds of any Equity Contributions made available to such Borrower in accordance with this Section 2.1(a) and Section 2.1(f), each Shareholder or its Permitted Transferee holding an interest in such Borrower shall make an Equity Contribution to such Borrower in an amount equal to its Equity Commitment Percentage for such Borrower </w:t>
      </w:r>
      <w:r>
        <w:rPr>
          <w:color w:val="000000"/>
          <w:u w:val="single"/>
        </w:rPr>
        <w:t>multiplied</w:t>
      </w:r>
      <w:r>
        <w:rPr>
          <w:color w:val="000000"/>
        </w:rPr>
        <w:t xml:space="preserve"> by the aggregate amount of such Uncovered Project Costs that are due and payable on such date; </w:t>
      </w:r>
      <w:r>
        <w:rPr>
          <w:b/>
          <w:bCs/>
          <w:i/>
          <w:iCs/>
          <w:color w:val="000000"/>
        </w:rPr>
        <w:t>provided</w:t>
      </w:r>
      <w:r>
        <w:rPr>
          <w:color w:val="000000"/>
        </w:rPr>
        <w:t xml:space="preserve"> </w:t>
      </w:r>
      <w:r>
        <w:rPr>
          <w:b/>
          <w:bCs/>
          <w:i/>
          <w:iCs/>
          <w:color w:val="000000"/>
        </w:rPr>
        <w:t xml:space="preserve">further </w:t>
      </w:r>
      <w:r>
        <w:rPr>
          <w:color w:val="000000"/>
        </w:rPr>
        <w:t xml:space="preserve">that the aggregate amount of all Equity Contributions made by any Shareholder after the date hereof to any Related Company (including, but without duplication, in the case of EPE Holdings and GasMat Holdings, Equity Contributions made to EPE or GasMat (as the case may be) pursuant to this Section 2.1(a)) shall not exceed such Shareholder's Equity Commitment Amount for such Related Company, and </w:t>
      </w:r>
      <w:r>
        <w:rPr>
          <w:b/>
          <w:bCs/>
          <w:i/>
          <w:iCs/>
          <w:color w:val="000000"/>
        </w:rPr>
        <w:t xml:space="preserve">provided further </w:t>
      </w:r>
      <w:r>
        <w:rPr>
          <w:color w:val="000000"/>
        </w:rPr>
        <w:t xml:space="preserve">that if Project Costs are certified by the Independent Engineer to be less than anticipated in the Construction Budget delivered to the Lenders on the Closing Date, and so long as the Debt to Equity Ratio, after giving effect to the Equity Contributions required to be made under this Section 2.1(a), will not exceed 65:35, the Base Equity Amount (as defined below) will be reduced by an amount (the </w:t>
      </w:r>
      <w:r>
        <w:rPr>
          <w:b/>
          <w:bCs/>
          <w:i/>
          <w:iCs/>
          <w:color w:val="000000"/>
        </w:rPr>
        <w:t>Reduction Amount</w:t>
      </w:r>
      <w:r>
        <w:rPr>
          <w:color w:val="000000"/>
        </w:rPr>
        <w:t>) equal to the anticipated Project Costs reflected in such Construction Budget less the actual Project Costs, as certified by the Independent Engineer and each Shareholder's Equity Commitment Amount for each Related Company shall be reduced by such Shareholder's Equity Commitment Percentage for such Related Party multiplied by the portion of the Reduction Amount allocable to such Related Party.  The aggregate amount of all Equity Contributions required to be made under this Section 2.1(a) shall be equal to U.S.$264,436,000</w:t>
      </w:r>
      <w:r>
        <w:rPr>
          <w:rStyle w:val="FootnoteCharacters"/>
          <w:rStyle w:val="FootnoteReference"/>
          <w:color w:val="000000"/>
        </w:rPr>
        <w:footnoteReference w:id="5"/>
      </w:r>
      <w:bookmarkStart w:id="206" w:name="_DV_M161"/>
      <w:bookmarkEnd w:id="206"/>
      <w:r>
        <w:rPr>
          <w:color w:val="000000"/>
        </w:rPr>
        <w:t xml:space="preserve"> (the </w:t>
      </w:r>
      <w:r>
        <w:rPr>
          <w:b/>
          <w:bCs/>
          <w:i/>
          <w:iCs/>
          <w:color w:val="000000"/>
        </w:rPr>
        <w:t>Base Equity Amount</w:t>
      </w:r>
      <w:r>
        <w:rPr>
          <w:color w:val="000000"/>
        </w:rPr>
        <w:t xml:space="preserve">).  </w:t>
      </w:r>
      <w:bookmarkStart w:id="207" w:name="_DV_C14"/>
    </w:p>
    <w:p>
      <w:pPr>
        <w:pStyle w:val="BodyText"/>
        <w:numPr>
          <w:ilvl w:val="0"/>
          <w:numId w:val="10"/>
        </w:numPr>
        <w:tabs>
          <w:tab w:val="left" w:pos="720" w:leader="none"/>
        </w:tabs>
        <w:ind w:hanging="720" w:start="720" w:end="0"/>
        <w:rPr>
          <w:color w:val="000000"/>
        </w:rPr>
      </w:pPr>
      <w:bookmarkStart w:id="208" w:name="_DV_IPM1"/>
      <w:bookmarkEnd w:id="207"/>
      <w:bookmarkEnd w:id="208"/>
      <w:r>
        <w:rPr>
          <w:rStyle w:val="DeltaViewDeletion"/>
        </w:rPr>
        <w:t xml:space="preserve">(b)  </w:t>
        <w:tab/>
      </w:r>
      <w:bookmarkStart w:id="209" w:name="_DV_C15"/>
      <w:bookmarkStart w:id="210" w:name="_DV_X39"/>
      <w:r>
        <w:rPr>
          <w:rStyle w:val="DeltaViewMoveDestination"/>
          <w:b/>
          <w:bCs/>
        </w:rPr>
        <w:t>Excess Contribution Amount.</w:t>
      </w:r>
      <w:bookmarkEnd w:id="209"/>
      <w:bookmarkEnd w:id="210"/>
      <w:r>
        <w:rPr>
          <w:color w:val="000000"/>
        </w:rPr>
        <w:t xml:space="preserve">    </w:t>
      </w:r>
      <w:bookmarkStart w:id="211" w:name="_DV_C16"/>
    </w:p>
    <w:p>
      <w:pPr>
        <w:pStyle w:val="BodyText"/>
        <w:numPr>
          <w:ilvl w:val="0"/>
          <w:numId w:val="9"/>
        </w:numPr>
        <w:tabs>
          <w:tab w:val="left" w:pos="720" w:leader="none"/>
        </w:tabs>
        <w:rPr>
          <w:color w:val="000000"/>
        </w:rPr>
      </w:pPr>
      <w:bookmarkStart w:id="212" w:name="_DV_C17"/>
      <w:bookmarkStart w:id="213" w:name="_DV_IPM2"/>
      <w:bookmarkEnd w:id="211"/>
      <w:bookmarkEnd w:id="213"/>
      <w:r>
        <w:rPr>
          <w:rStyle w:val="DeltaViewInsertion"/>
        </w:rPr>
        <w:t xml:space="preserve">If at any time on or prior to the Project Completion Date, accumulated [diesel fuel costs </w:t>
      </w:r>
      <w:bookmarkStart w:id="214" w:name="_DV_C18"/>
      <w:bookmarkStart w:id="215" w:name="_DV_X44"/>
      <w:bookmarkEnd w:id="212"/>
      <w:r>
        <w:rPr>
          <w:rStyle w:val="DeltaViewMoveDestination"/>
        </w:rPr>
        <w:t>not compensated through payments from the CCC Account</w:t>
      </w:r>
      <w:bookmarkEnd w:id="214"/>
      <w:bookmarkEnd w:id="215"/>
      <w:r>
        <w:rPr>
          <w:rStyle w:val="DeltaViewDeletion"/>
        </w:rPr>
        <w:t>, (b) up to U.S.$</w:t>
      </w:r>
      <w:r>
        <w:rPr>
          <w:rStyle w:val="DeltaViewDeletion"/>
          <w:b/>
          <w:bCs/>
        </w:rPr>
        <w:t>[____]</w:t>
      </w:r>
      <w:r>
        <w:rPr>
          <w:rStyle w:val="DeltaViewDeletion"/>
        </w:rPr>
        <w:t xml:space="preserve"> (the </w:t>
      </w:r>
      <w:r>
        <w:rPr>
          <w:rStyle w:val="DeltaViewDeletion"/>
          <w:b/>
          <w:bCs/>
          <w:i/>
          <w:iCs/>
        </w:rPr>
        <w:t>Contingent Penalties Amount</w:t>
      </w:r>
      <w:r>
        <w:rPr>
          <w:rStyle w:val="DeltaViewDeletion"/>
        </w:rPr>
        <w:t>) shall be used to pay</w:t>
      </w:r>
      <w:bookmarkStart w:id="216" w:name="_DV_C19"/>
      <w:r>
        <w:rPr>
          <w:rStyle w:val="DeltaViewInsertion"/>
        </w:rPr>
        <w:t xml:space="preserve">] exceed U.S.$[____] (such excess being referred to herein as </w:t>
      </w:r>
      <w:r>
        <w:rPr>
          <w:rStyle w:val="DeltaViewInsertion"/>
          <w:b/>
          <w:bCs/>
          <w:i/>
          <w:iCs/>
        </w:rPr>
        <w:t>Fuel Oil Cost Overruns</w:t>
      </w:r>
      <w:r>
        <w:rPr>
          <w:rStyle w:val="DeltaViewInsertion"/>
        </w:rPr>
        <w:t xml:space="preserve">) and all Commitments have expired or have been fully utilized, each Shareholder and any Permitted Transferee thereof shall, from time to time when necessary and upon the request of the Common Agent (acting upon the written instructions of the Lenders), make Equity Contributions to its Related Company to cover the Fuel Oil Cost Overruns of such Related Company in accordance with its Equity Commitment Percentage in such Related Company; </w:t>
      </w:r>
      <w:r>
        <w:rPr>
          <w:rStyle w:val="DeltaViewInsertion"/>
          <w:b/>
          <w:bCs/>
          <w:i/>
          <w:iCs/>
        </w:rPr>
        <w:t xml:space="preserve">provided </w:t>
      </w:r>
      <w:r>
        <w:rPr>
          <w:rStyle w:val="DeltaViewInsertion"/>
        </w:rPr>
        <w:t>that the aggregate amount of all Equity Contributions required to be made by such Shareholder and any Permitted Transferee thereof under this Section 2.1(b)(i</w:t>
      </w:r>
      <w:bookmarkStart w:id="217" w:name="_DV_C20"/>
      <w:bookmarkStart w:id="218" w:name="_DV_X42"/>
      <w:bookmarkEnd w:id="216"/>
      <w:r>
        <w:rPr>
          <w:rStyle w:val="DeltaViewMoveDestination"/>
        </w:rPr>
        <w:t>) shall not exceed U.S.$</w:t>
      </w:r>
      <w:r>
        <w:rPr>
          <w:rStyle w:val="DeltaViewMoveDestination"/>
          <w:b/>
          <w:bCs/>
        </w:rPr>
        <w:t>[_______]</w:t>
      </w:r>
      <w:r>
        <w:rPr>
          <w:rStyle w:val="DeltaViewMoveDestination"/>
        </w:rPr>
        <w:t xml:space="preserve"> for all Shareholders (the </w:t>
      </w:r>
      <w:bookmarkEnd w:id="217"/>
      <w:bookmarkEnd w:id="218"/>
      <w:r>
        <w:rPr>
          <w:rStyle w:val="DeltaViewDeletion"/>
          <w:b/>
          <w:bCs/>
          <w:i/>
          <w:iCs/>
        </w:rPr>
        <w:t>Excess Contribution Amount</w:t>
      </w:r>
      <w:r>
        <w:rPr>
          <w:rStyle w:val="DeltaViewDeletion"/>
        </w:rPr>
        <w:t>), of which (a) up to U.S.$</w:t>
      </w:r>
      <w:r>
        <w:rPr>
          <w:rStyle w:val="DeltaViewDeletion"/>
          <w:b/>
          <w:bCs/>
        </w:rPr>
        <w:t>[_____]</w:t>
      </w:r>
      <w:r>
        <w:rPr>
          <w:rStyle w:val="DeltaViewDeletion"/>
        </w:rPr>
        <w:t xml:space="preserve"> (the </w:t>
      </w:r>
      <w:r>
        <w:rPr>
          <w:rStyle w:val="DeltaViewDeletion"/>
          <w:b/>
          <w:bCs/>
          <w:i/>
          <w:iCs/>
        </w:rPr>
        <w:t>Fuel Oil Reimbursement Amount</w:t>
      </w:r>
      <w:r>
        <w:rPr>
          <w:rStyle w:val="DeltaViewDeletion"/>
        </w:rPr>
        <w:t xml:space="preserve">) shall be used to cover diesel fuel costs of EPE to the extent </w:t>
      </w:r>
      <w:bookmarkStart w:id="219" w:name="_DV_C21"/>
      <w:r>
        <w:rPr>
          <w:rStyle w:val="DeltaViewInsertion"/>
          <w:b/>
          <w:bCs/>
          <w:i/>
          <w:iCs/>
        </w:rPr>
        <w:t>Fuel Oil Reimbursement Amount</w:t>
      </w:r>
      <w:r>
        <w:rPr>
          <w:rStyle w:val="DeltaViewInsertion"/>
        </w:rPr>
        <w:t xml:space="preserve">), </w:t>
      </w:r>
      <w:bookmarkStart w:id="220" w:name="_DV_C22"/>
      <w:bookmarkEnd w:id="219"/>
    </w:p>
    <w:p>
      <w:pPr>
        <w:pStyle w:val="BodyText"/>
        <w:numPr>
          <w:ilvl w:val="0"/>
          <w:numId w:val="9"/>
        </w:numPr>
        <w:tabs>
          <w:tab w:val="left" w:pos="720" w:leader="none"/>
        </w:tabs>
        <w:rPr>
          <w:color w:val="000000"/>
        </w:rPr>
      </w:pPr>
      <w:bookmarkStart w:id="221" w:name="_DV_C23"/>
      <w:bookmarkStart w:id="222" w:name="_DV_IPM3"/>
      <w:bookmarkEnd w:id="220"/>
      <w:bookmarkEnd w:id="222"/>
      <w:r>
        <w:rPr>
          <w:rStyle w:val="DeltaViewInsertion"/>
        </w:rPr>
        <w:t>If at any time on or prior to the Project Completion Date, accumulated</w:t>
      </w:r>
      <w:bookmarkStart w:id="223" w:name="_DV_C24"/>
      <w:bookmarkStart w:id="224" w:name="_DV_X46"/>
      <w:bookmarkEnd w:id="221"/>
      <w:r>
        <w:rPr>
          <w:rStyle w:val="DeltaViewMoveDestination"/>
        </w:rPr>
        <w:t xml:space="preserve"> penalties to the Power Purchaser in respect of delays in reaching the milestones under the Power Purchase Agreement attributable to [_____]</w:t>
      </w:r>
      <w:bookmarkEnd w:id="223"/>
      <w:bookmarkEnd w:id="224"/>
      <w:r>
        <w:rPr>
          <w:rStyle w:val="DeltaViewDeletion"/>
        </w:rPr>
        <w:t>, (c) up to U.S.$</w:t>
      </w:r>
      <w:r>
        <w:rPr>
          <w:rStyle w:val="DeltaViewDeletion"/>
          <w:b/>
          <w:bCs/>
        </w:rPr>
        <w:t>[____]</w:t>
      </w:r>
      <w:r>
        <w:rPr>
          <w:rStyle w:val="DeltaViewDeletion"/>
        </w:rPr>
        <w:t xml:space="preserve"> (the </w:t>
      </w:r>
      <w:r>
        <w:rPr>
          <w:rStyle w:val="DeltaViewDeletion"/>
          <w:b/>
          <w:bCs/>
          <w:i/>
          <w:iCs/>
        </w:rPr>
        <w:t>Change Order Amount</w:t>
      </w:r>
      <w:r>
        <w:rPr>
          <w:rStyle w:val="DeltaViewDeletion"/>
        </w:rPr>
        <w:t xml:space="preserve">) shall be used to compensate the Contractor </w:t>
      </w:r>
      <w:bookmarkStart w:id="225" w:name="_DV_C25"/>
      <w:r>
        <w:rPr>
          <w:rStyle w:val="DeltaViewInsertion"/>
        </w:rPr>
        <w:t xml:space="preserve"> exceed U.S.$[____] (such excess being referred to herein as </w:t>
      </w:r>
      <w:r>
        <w:rPr>
          <w:rStyle w:val="DeltaViewInsertion"/>
          <w:b/>
          <w:bCs/>
          <w:i/>
          <w:iCs/>
        </w:rPr>
        <w:t>Contingent Penalties Cost Overruns</w:t>
      </w:r>
      <w:r>
        <w:rPr>
          <w:rStyle w:val="DeltaViewInsertion"/>
        </w:rPr>
        <w:t xml:space="preserve">) and all Commitments have expired or have been fully utilized, each Shareholder and any Permitted Transferee thereof shall, from time to time when necessary and upon the request of the Common Agent (acting upon the written instructions of the Lenders), make Equity Contributions to its Related Company to cover the Contingent Penalties Cost Overruns of such Related Company in accordance with its Equity Commitment Percentage in such Related Company; </w:t>
      </w:r>
      <w:r>
        <w:rPr>
          <w:rStyle w:val="DeltaViewInsertion"/>
          <w:b/>
          <w:bCs/>
          <w:i/>
          <w:iCs/>
        </w:rPr>
        <w:t xml:space="preserve">provided </w:t>
      </w:r>
      <w:r>
        <w:rPr>
          <w:rStyle w:val="DeltaViewInsertion"/>
        </w:rPr>
        <w:t>that the aggregate amount of all Equity Contributions required to be made by such Shareholder and any Permitted Transferee thereof under this Section 2.1(b)(ii) shall not exceed U.S.$</w:t>
      </w:r>
      <w:r>
        <w:rPr>
          <w:rStyle w:val="DeltaViewInsertion"/>
          <w:b/>
          <w:bCs/>
        </w:rPr>
        <w:t>[_______]</w:t>
      </w:r>
      <w:r>
        <w:rPr>
          <w:rStyle w:val="DeltaViewInsertion"/>
        </w:rPr>
        <w:t xml:space="preserve"> for all Shareholders (the </w:t>
      </w:r>
      <w:r>
        <w:rPr>
          <w:rStyle w:val="DeltaViewInsertion"/>
          <w:b/>
          <w:bCs/>
          <w:i/>
          <w:iCs/>
        </w:rPr>
        <w:t>Contingent Penalties Amount</w:t>
      </w:r>
      <w:r>
        <w:rPr>
          <w:rStyle w:val="DeltaViewInsertion"/>
        </w:rPr>
        <w:t>);</w:t>
      </w:r>
      <w:bookmarkStart w:id="226" w:name="_DV_C26"/>
      <w:bookmarkEnd w:id="225"/>
    </w:p>
    <w:p>
      <w:pPr>
        <w:pStyle w:val="BodyText"/>
        <w:numPr>
          <w:ilvl w:val="0"/>
          <w:numId w:val="9"/>
        </w:numPr>
        <w:tabs>
          <w:tab w:val="left" w:pos="720" w:leader="none"/>
        </w:tabs>
        <w:rPr>
          <w:color w:val="000000"/>
        </w:rPr>
      </w:pPr>
      <w:bookmarkStart w:id="227" w:name="_DV_C27"/>
      <w:bookmarkStart w:id="228" w:name="_DV_IPM4"/>
      <w:bookmarkEnd w:id="226"/>
      <w:bookmarkEnd w:id="228"/>
      <w:r>
        <w:rPr>
          <w:rStyle w:val="DeltaViewInsertion"/>
        </w:rPr>
        <w:t xml:space="preserve">If at any time on or prior to the Project Completion Date, the Contractor is owed any amount </w:t>
      </w:r>
      <w:bookmarkStart w:id="229" w:name="_DV_C28"/>
      <w:bookmarkStart w:id="230" w:name="_DV_X48"/>
      <w:bookmarkEnd w:id="227"/>
      <w:r>
        <w:rPr>
          <w:rStyle w:val="DeltaViewMoveDestination"/>
        </w:rPr>
        <w:t>in respect of Change Orders that are (i) listed in Schedule 8.1.12(b) as forecasted or pending resolution of arbitration (</w:t>
      </w:r>
      <w:r>
        <w:rPr>
          <w:rStyle w:val="DeltaViewMoveDestination"/>
          <w:b/>
          <w:bCs/>
        </w:rPr>
        <w:t>Budgeted Change Order</w:t>
      </w:r>
      <w:r>
        <w:rPr>
          <w:rStyle w:val="DeltaViewMoveDestination"/>
        </w:rPr>
        <w:t xml:space="preserve">) </w:t>
      </w:r>
      <w:bookmarkStart w:id="231" w:name="_DV_C29"/>
      <w:bookmarkStart w:id="232" w:name="_DV_X49"/>
      <w:bookmarkEnd w:id="229"/>
      <w:bookmarkEnd w:id="230"/>
      <w:r>
        <w:rPr>
          <w:rStyle w:val="DeltaViewMoveDestination"/>
        </w:rPr>
        <w:t>or (ii) approved in writing by the Lenders</w:t>
      </w:r>
      <w:bookmarkEnd w:id="231"/>
      <w:bookmarkEnd w:id="232"/>
      <w:r>
        <w:rPr>
          <w:rStyle w:val="DeltaViewDeletion"/>
        </w:rPr>
        <w:t>, and (d) up to U.S.$</w:t>
      </w:r>
      <w:r>
        <w:rPr>
          <w:rStyle w:val="DeltaViewDeletion"/>
          <w:b/>
          <w:bCs/>
        </w:rPr>
        <w:t>[_____]</w:t>
      </w:r>
      <w:bookmarkStart w:id="233" w:name="_DV_C30"/>
      <w:r>
        <w:rPr>
          <w:rStyle w:val="DeltaViewInsertion"/>
        </w:rPr>
        <w:t xml:space="preserve"> (such amounts collectively being referred to herein as </w:t>
      </w:r>
      <w:r>
        <w:rPr>
          <w:rStyle w:val="DeltaViewInsertion"/>
          <w:b/>
          <w:bCs/>
          <w:i/>
          <w:iCs/>
        </w:rPr>
        <w:t>Change Order Cost Overruns</w:t>
      </w:r>
      <w:r>
        <w:rPr>
          <w:rStyle w:val="DeltaViewInsertion"/>
        </w:rPr>
        <w:t xml:space="preserve">) and all Commitments have expired or have been fully utilized, each Shareholder and any Permitted Transferee thereof shall, from time to time when necessary and upon the request of the Common Agent (acting upon the written instructions of the Lenders), make Equity Contributions to its Related Company to cover the Change Order Cost Overruns of such Related Company in accordance with its Equity Commitment Percentage in such Related Company; </w:t>
      </w:r>
      <w:r>
        <w:rPr>
          <w:rStyle w:val="DeltaViewInsertion"/>
          <w:b/>
          <w:bCs/>
          <w:i/>
          <w:iCs/>
        </w:rPr>
        <w:t xml:space="preserve">provided </w:t>
      </w:r>
      <w:r>
        <w:rPr>
          <w:rStyle w:val="DeltaViewInsertion"/>
        </w:rPr>
        <w:t>that the aggregate amount of all Equity Contributions required to be made by such Shareholder and any Permitted Transferee thereof under this Section 2.1(b)(iii) shall not exceed U.S.$</w:t>
      </w:r>
      <w:r>
        <w:rPr>
          <w:rStyle w:val="DeltaViewInsertion"/>
          <w:b/>
          <w:bCs/>
        </w:rPr>
        <w:t>[_______]</w:t>
      </w:r>
      <w:r>
        <w:rPr>
          <w:rStyle w:val="DeltaViewInsertion"/>
        </w:rPr>
        <w:t xml:space="preserve"> for all Shareholders (the </w:t>
      </w:r>
      <w:r>
        <w:rPr>
          <w:rStyle w:val="DeltaViewInsertion"/>
          <w:b/>
          <w:bCs/>
          <w:i/>
          <w:iCs/>
        </w:rPr>
        <w:t>Budgeted Change Order Amount</w:t>
      </w:r>
      <w:r>
        <w:rPr>
          <w:rStyle w:val="DeltaViewInsertion"/>
        </w:rPr>
        <w:t>);</w:t>
      </w:r>
      <w:bookmarkStart w:id="234" w:name="_DV_C31"/>
      <w:bookmarkEnd w:id="233"/>
    </w:p>
    <w:p>
      <w:pPr>
        <w:pStyle w:val="BodyText"/>
        <w:numPr>
          <w:ilvl w:val="0"/>
          <w:numId w:val="9"/>
        </w:numPr>
        <w:tabs>
          <w:tab w:val="left" w:pos="720" w:leader="none"/>
        </w:tabs>
        <w:rPr>
          <w:color w:val="000000"/>
        </w:rPr>
      </w:pPr>
      <w:bookmarkStart w:id="235" w:name="_DV_C32"/>
      <w:bookmarkStart w:id="236" w:name="_DV_X40"/>
      <w:bookmarkStart w:id="237" w:name="_DV_LI0"/>
      <w:bookmarkStart w:id="238" w:name="_DV_IPM5"/>
      <w:bookmarkEnd w:id="234"/>
      <w:bookmarkEnd w:id="237"/>
      <w:bookmarkEnd w:id="238"/>
      <w:r>
        <w:rPr>
          <w:rStyle w:val="DeltaViewMoveDestination"/>
        </w:rPr>
        <w:t xml:space="preserve">If at any time on or prior to the Project Completion Date, accumulated Project Costs and any other costs required to achieve Project Completion </w:t>
      </w:r>
      <w:bookmarkEnd w:id="235"/>
      <w:bookmarkEnd w:id="236"/>
      <w:r>
        <w:rPr>
          <w:rStyle w:val="DeltaViewDeletion"/>
        </w:rPr>
        <w:t xml:space="preserve">exceed U.S.$ </w:t>
      </w:r>
      <w:r>
        <w:rPr>
          <w:rStyle w:val="DeltaViewDeletion"/>
          <w:b/>
          <w:bCs/>
        </w:rPr>
        <w:t xml:space="preserve">[_______] </w:t>
      </w:r>
      <w:r>
        <w:rPr>
          <w:rStyle w:val="DeltaViewDeletion"/>
        </w:rPr>
        <w:t xml:space="preserve">(such excess being referred to herein as </w:t>
      </w:r>
      <w:r>
        <w:rPr>
          <w:rStyle w:val="DeltaViewDeletion"/>
          <w:b/>
          <w:bCs/>
          <w:i/>
          <w:iCs/>
        </w:rPr>
        <w:t>Cost Overruns</w:t>
      </w:r>
      <w:r>
        <w:rPr>
          <w:rStyle w:val="DeltaViewDeletion"/>
        </w:rPr>
        <w:t xml:space="preserve">) and all Commitments have expired or have been fully utilized, each Shareholder and any Permitted Transferee thereof shall, from time to time when necessary and upon the request of the Common Agent (acting upon the written instructions of the Lenders), make Equity Contributions to its Related Company to cover the Cost Overruns of such Related Company in accordance with its Equity Commitment Percentage in such Related Company; </w:t>
      </w:r>
      <w:r>
        <w:rPr>
          <w:rStyle w:val="DeltaViewDeletion"/>
          <w:b/>
          <w:bCs/>
          <w:i/>
          <w:iCs/>
        </w:rPr>
        <w:t xml:space="preserve">provided </w:t>
      </w:r>
      <w:r>
        <w:rPr>
          <w:rStyle w:val="DeltaViewDeletion"/>
        </w:rPr>
        <w:t>that the aggregate amount of all Equity Contributions required to be made by such Shareholder and any Permitted Transferee thereof under this Section 2.1(b</w:t>
      </w:r>
      <w:bookmarkStart w:id="239" w:name="_DV_C33"/>
      <w:r>
        <w:rPr>
          <w:rStyle w:val="DeltaViewInsertion"/>
        </w:rPr>
        <w:t>(including Change Orders but other than Budgeted</w:t>
      </w:r>
      <w:bookmarkStart w:id="240" w:name="_DV_C34"/>
      <w:bookmarkStart w:id="241" w:name="_DV_X53"/>
      <w:bookmarkEnd w:id="239"/>
      <w:r>
        <w:rPr>
          <w:rStyle w:val="DeltaViewMoveDestination"/>
        </w:rPr>
        <w:t xml:space="preserve"> Change Orders) of any Borrower that are not contemplated in the Construction Budget in effect [on the date hereof]</w:t>
      </w:r>
      <w:bookmarkEnd w:id="240"/>
      <w:bookmarkEnd w:id="241"/>
      <w:r>
        <w:rPr>
          <w:rStyle w:val="DeltaViewDeletion"/>
        </w:rPr>
        <w:t xml:space="preserve">.  The foregoing categorization of Excess Contribution Amounts is made solely for the purpose of calculating the reductions in the overall Excess Contribution Amount pursuant to the last paragraph of this clause (b) and shall not limit the types of Project Costs for which Capital Contributions hereunder may be applied.   </w:t>
      </w:r>
      <w:bookmarkStart w:id="242" w:name="_DV_C35"/>
      <w:r>
        <w:rPr>
          <w:rStyle w:val="DeltaViewInsertion"/>
        </w:rPr>
        <w:t xml:space="preserve">) exceed U.S.$[____] (such excess being referred to herein as </w:t>
      </w:r>
      <w:r>
        <w:rPr>
          <w:rStyle w:val="DeltaViewInsertion"/>
          <w:b/>
          <w:bCs/>
          <w:i/>
          <w:iCs/>
        </w:rPr>
        <w:t>Unbudgeted Cost Overruns</w:t>
      </w:r>
      <w:r>
        <w:rPr>
          <w:rStyle w:val="DeltaViewInsertion"/>
        </w:rPr>
        <w:t xml:space="preserve"> and, together with the Fuel Oil Cost Overruns, the Contingent Penalties Cost Overruns and the Change Order Cost Overruns, the </w:t>
      </w:r>
      <w:r>
        <w:rPr>
          <w:rStyle w:val="DeltaViewInsertion"/>
          <w:b/>
          <w:bCs/>
          <w:i/>
          <w:iCs/>
        </w:rPr>
        <w:t>Cost Overruns</w:t>
      </w:r>
      <w:r>
        <w:rPr>
          <w:rStyle w:val="DeltaViewInsertion"/>
        </w:rPr>
        <w:t xml:space="preserve">) and all Commitments have expired or have been fully utilized, each Shareholder and any Permitted Transferee thereof shall, from time to time when necessary and upon the request of the Common Agent (acting upon the written instructions of the Lenders), make Equity Contributions to its Related Company to cover the Unbudgeted Cost Overruns of such Related Company in accordance with its Equity Commitment Percentage in such Related Company; </w:t>
      </w:r>
      <w:r>
        <w:rPr>
          <w:rStyle w:val="DeltaViewInsertion"/>
          <w:b/>
          <w:bCs/>
          <w:i/>
          <w:iCs/>
        </w:rPr>
        <w:t xml:space="preserve">provided </w:t>
      </w:r>
      <w:r>
        <w:rPr>
          <w:rStyle w:val="DeltaViewInsertion"/>
        </w:rPr>
        <w:t>that the aggregate amount of all Equity Contributions required to be made by such Shareholder and any Permitted Transferee thereof under this Section 2.1(b)(iv) shall not exceed U.S.$</w:t>
      </w:r>
      <w:r>
        <w:rPr>
          <w:rStyle w:val="DeltaViewInsertion"/>
          <w:b/>
          <w:bCs/>
        </w:rPr>
        <w:t>[_______]</w:t>
      </w:r>
      <w:r>
        <w:rPr>
          <w:rStyle w:val="DeltaViewInsertion"/>
        </w:rPr>
        <w:t xml:space="preserve"> for all Shareholders</w:t>
      </w:r>
      <w:bookmarkStart w:id="243" w:name="_DV_C36"/>
      <w:bookmarkStart w:id="244" w:name="_DV_X51"/>
      <w:bookmarkEnd w:id="242"/>
      <w:r>
        <w:rPr>
          <w:rStyle w:val="DeltaViewMoveDestination"/>
        </w:rPr>
        <w:t xml:space="preserve"> (the </w:t>
      </w:r>
      <w:r>
        <w:rPr>
          <w:rStyle w:val="DeltaViewMoveDestination"/>
          <w:b/>
          <w:bCs/>
        </w:rPr>
        <w:t>Unbudgeted Contingency Amount</w:t>
      </w:r>
      <w:bookmarkEnd w:id="243"/>
      <w:bookmarkEnd w:id="244"/>
      <w:r>
        <w:rPr>
          <w:rStyle w:val="DeltaViewDeletion"/>
        </w:rPr>
        <w:t>) shall be used to cover increased costs (other than</w:t>
      </w:r>
      <w:bookmarkStart w:id="245" w:name="_DV_C37"/>
      <w:r>
        <w:rPr>
          <w:rStyle w:val="DeltaViewInsertion"/>
        </w:rPr>
        <w:t xml:space="preserve"> and, together with the Fuel Oil Reimbursement Amount, the Contingent Penalties Amount, the Budgeted Change Order Amount and the Unbudgeted Conteingency Amount, the </w:t>
      </w:r>
      <w:r>
        <w:rPr>
          <w:rStyle w:val="DeltaViewInsertion"/>
          <w:b/>
          <w:bCs/>
          <w:i/>
          <w:iCs/>
        </w:rPr>
        <w:t>Excess Contribution Amount</w:t>
      </w:r>
      <w:r>
        <w:rPr>
          <w:rStyle w:val="DeltaViewInsertion"/>
        </w:rPr>
        <w:t>);</w:t>
      </w:r>
      <w:bookmarkEnd w:id="245"/>
    </w:p>
    <w:p>
      <w:pPr>
        <w:pStyle w:val="BodyText"/>
        <w:tabs>
          <w:tab w:val="left" w:pos="720" w:leader="none"/>
        </w:tabs>
        <w:ind w:start="720" w:end="0"/>
        <w:rPr/>
      </w:pPr>
      <w:bookmarkStart w:id="246" w:name="_DV_C38"/>
      <w:r>
        <w:rPr>
          <w:rStyle w:val="DeltaViewDeletion"/>
        </w:rPr>
        <w:t xml:space="preserve">(b)  </w:t>
        <w:tab/>
      </w:r>
      <w:bookmarkStart w:id="247" w:name="_DV_C39"/>
      <w:bookmarkStart w:id="248" w:name="_DV_X15"/>
      <w:bookmarkEnd w:id="246"/>
      <w:r>
        <w:rPr>
          <w:rStyle w:val="DeltaViewMoveSource"/>
          <w:b/>
          <w:bCs/>
        </w:rPr>
        <w:t>Excess Contribution Amount.</w:t>
      </w:r>
      <w:bookmarkEnd w:id="247"/>
      <w:bookmarkEnd w:id="248"/>
      <w:r>
        <w:rPr>
          <w:color w:val="000000"/>
        </w:rPr>
        <w:t xml:space="preserve"> </w:t>
      </w:r>
      <w:bookmarkStart w:id="249" w:name="_DV_C40"/>
      <w:bookmarkStart w:id="250" w:name="_DV_X32"/>
      <w:r>
        <w:rPr>
          <w:rStyle w:val="DeltaViewMoveSource"/>
        </w:rPr>
        <w:t xml:space="preserve">If at any time on or prior to the Project Completion Date, accumulated Project Costs and any other costs required to achieve Project Completion </w:t>
      </w:r>
      <w:bookmarkStart w:id="251" w:name="_DV_C41"/>
      <w:bookmarkEnd w:id="249"/>
      <w:bookmarkEnd w:id="250"/>
      <w:r>
        <w:rPr>
          <w:rStyle w:val="DeltaViewDeletion"/>
        </w:rPr>
        <w:t xml:space="preserve">exceed U.S.$ </w:t>
      </w:r>
      <w:r>
        <w:rPr>
          <w:rStyle w:val="DeltaViewDeletion"/>
          <w:b/>
          <w:bCs/>
        </w:rPr>
        <w:t xml:space="preserve">[_______] </w:t>
      </w:r>
      <w:r>
        <w:rPr>
          <w:rStyle w:val="DeltaViewDeletion"/>
        </w:rPr>
        <w:t xml:space="preserve">(such excess being referred to herein as </w:t>
      </w:r>
      <w:r>
        <w:rPr>
          <w:rStyle w:val="DeltaViewDeletion"/>
          <w:b/>
          <w:bCs/>
          <w:i/>
          <w:iCs/>
        </w:rPr>
        <w:t>Cost Overruns</w:t>
      </w:r>
      <w:r>
        <w:rPr>
          <w:rStyle w:val="DeltaViewDeletion"/>
        </w:rPr>
        <w:t xml:space="preserve">) and all Commitments have expired or have been fully utilized, each Shareholder and any Permitted Transferee thereof shall, from time to time when necessary and upon the request of the Common Agent (acting upon the written instructions of the Lenders), make Equity Contributions to its Related Company to cover the Cost Overruns of such Related Company in accordance with its Equity Commitment Percentage in such Related Company; </w:t>
      </w:r>
      <w:r>
        <w:rPr>
          <w:rStyle w:val="DeltaViewDeletion"/>
          <w:b/>
          <w:bCs/>
          <w:i/>
          <w:iCs/>
        </w:rPr>
        <w:t xml:space="preserve">provided </w:t>
      </w:r>
      <w:r>
        <w:rPr>
          <w:rStyle w:val="DeltaViewDeletion"/>
        </w:rPr>
        <w:t>that the aggregate amount of all Equity Contributions required to be made by such Shareholder and any Permitted Transferee thereof under this Section 2.1(b</w:t>
      </w:r>
      <w:bookmarkStart w:id="252" w:name="_DV_C42"/>
      <w:bookmarkStart w:id="253" w:name="_DV_X20"/>
      <w:bookmarkEnd w:id="251"/>
      <w:r>
        <w:rPr>
          <w:rStyle w:val="DeltaViewMoveSource"/>
        </w:rPr>
        <w:t>) shall not exceed U.S.$</w:t>
      </w:r>
      <w:r>
        <w:rPr>
          <w:rStyle w:val="DeltaViewMoveSource"/>
          <w:b/>
          <w:bCs/>
        </w:rPr>
        <w:t>[_______]</w:t>
      </w:r>
      <w:r>
        <w:rPr>
          <w:rStyle w:val="DeltaViewMoveSource"/>
        </w:rPr>
        <w:t xml:space="preserve"> for all Shareholders (the </w:t>
      </w:r>
      <w:bookmarkStart w:id="254" w:name="_DV_C43"/>
      <w:bookmarkEnd w:id="252"/>
      <w:bookmarkEnd w:id="253"/>
      <w:r>
        <w:rPr>
          <w:rStyle w:val="DeltaViewDeletion"/>
          <w:b/>
          <w:bCs/>
          <w:i/>
          <w:iCs/>
        </w:rPr>
        <w:t>Excess Contribution Amount</w:t>
      </w:r>
      <w:r>
        <w:rPr>
          <w:rStyle w:val="DeltaViewDeletion"/>
        </w:rPr>
        <w:t>), of which (a) up to U.S.$</w:t>
      </w:r>
      <w:r>
        <w:rPr>
          <w:rStyle w:val="DeltaViewDeletion"/>
          <w:b/>
          <w:bCs/>
        </w:rPr>
        <w:t>[_____]</w:t>
      </w:r>
      <w:r>
        <w:rPr>
          <w:rStyle w:val="DeltaViewDeletion"/>
        </w:rPr>
        <w:t xml:space="preserve"> (the </w:t>
      </w:r>
      <w:r>
        <w:rPr>
          <w:rStyle w:val="DeltaViewDeletion"/>
          <w:b/>
          <w:bCs/>
          <w:i/>
          <w:iCs/>
        </w:rPr>
        <w:t>Fuel Oil Reimbursement Amount</w:t>
      </w:r>
      <w:r>
        <w:rPr>
          <w:rStyle w:val="DeltaViewDeletion"/>
        </w:rPr>
        <w:t xml:space="preserve">) shall be used to cover diesel fuel costs of EPE to the extent </w:t>
      </w:r>
      <w:bookmarkStart w:id="255" w:name="_DV_C44"/>
      <w:bookmarkStart w:id="256" w:name="_DV_X18"/>
      <w:bookmarkEnd w:id="254"/>
      <w:r>
        <w:rPr>
          <w:rStyle w:val="DeltaViewMoveSource"/>
        </w:rPr>
        <w:t>not compensated through payments from the CCC Account</w:t>
      </w:r>
      <w:bookmarkStart w:id="257" w:name="_DV_C45"/>
      <w:bookmarkEnd w:id="255"/>
      <w:bookmarkEnd w:id="256"/>
      <w:r>
        <w:rPr>
          <w:rStyle w:val="DeltaViewDeletion"/>
        </w:rPr>
        <w:t>, (b) up to U.S.$</w:t>
      </w:r>
      <w:r>
        <w:rPr>
          <w:rStyle w:val="DeltaViewDeletion"/>
          <w:b/>
          <w:bCs/>
        </w:rPr>
        <w:t>[____]</w:t>
      </w:r>
      <w:r>
        <w:rPr>
          <w:rStyle w:val="DeltaViewDeletion"/>
        </w:rPr>
        <w:t xml:space="preserve"> (the </w:t>
      </w:r>
      <w:r>
        <w:rPr>
          <w:rStyle w:val="DeltaViewDeletion"/>
          <w:b/>
          <w:bCs/>
          <w:i/>
          <w:iCs/>
        </w:rPr>
        <w:t>Contingent Penalties Amount</w:t>
      </w:r>
      <w:r>
        <w:rPr>
          <w:rStyle w:val="DeltaViewDeletion"/>
        </w:rPr>
        <w:t>) shall be used to pay</w:t>
      </w:r>
      <w:bookmarkStart w:id="258" w:name="_DV_C46"/>
      <w:bookmarkStart w:id="259" w:name="_DV_X24"/>
      <w:bookmarkEnd w:id="257"/>
      <w:r>
        <w:rPr>
          <w:rStyle w:val="DeltaViewMoveSource"/>
        </w:rPr>
        <w:t xml:space="preserve"> penalties to the Power Purchaser in respect of delays in reaching the milestones under the Power Purchase Agreement attributable to [_____]</w:t>
      </w:r>
      <w:bookmarkStart w:id="260" w:name="_DV_C47"/>
      <w:bookmarkEnd w:id="258"/>
      <w:bookmarkEnd w:id="259"/>
      <w:r>
        <w:rPr>
          <w:rStyle w:val="DeltaViewDeletion"/>
        </w:rPr>
        <w:t>, (c) up to U.S.$</w:t>
      </w:r>
      <w:r>
        <w:rPr>
          <w:rStyle w:val="DeltaViewDeletion"/>
          <w:b/>
          <w:bCs/>
        </w:rPr>
        <w:t>[____]</w:t>
      </w:r>
      <w:r>
        <w:rPr>
          <w:rStyle w:val="DeltaViewDeletion"/>
        </w:rPr>
        <w:t xml:space="preserve"> (the </w:t>
      </w:r>
      <w:r>
        <w:rPr>
          <w:rStyle w:val="DeltaViewDeletion"/>
          <w:b/>
          <w:bCs/>
          <w:i/>
          <w:iCs/>
        </w:rPr>
        <w:t>Change Order Amount</w:t>
      </w:r>
      <w:r>
        <w:rPr>
          <w:rStyle w:val="DeltaViewDeletion"/>
        </w:rPr>
        <w:t xml:space="preserve">) shall be used to compensate the Contractor </w:t>
      </w:r>
      <w:bookmarkStart w:id="261" w:name="_DV_C48"/>
      <w:bookmarkStart w:id="262" w:name="_DV_X28"/>
      <w:bookmarkEnd w:id="260"/>
      <w:r>
        <w:rPr>
          <w:rStyle w:val="DeltaViewMoveSource"/>
        </w:rPr>
        <w:t>in respect of Change Orders that are (i) listed in Schedule 8.1.12(b) as forecasted or pending resolution of arbitration (</w:t>
      </w:r>
      <w:r>
        <w:rPr>
          <w:rStyle w:val="DeltaViewMoveSource"/>
          <w:b/>
          <w:bCs/>
        </w:rPr>
        <w:t>Budgeted Change Order</w:t>
      </w:r>
      <w:r>
        <w:rPr>
          <w:rStyle w:val="DeltaViewMoveSource"/>
        </w:rPr>
        <w:t xml:space="preserve">) </w:t>
      </w:r>
      <w:bookmarkStart w:id="263" w:name="_DV_C49"/>
      <w:bookmarkStart w:id="264" w:name="_DV_X29"/>
      <w:bookmarkEnd w:id="261"/>
      <w:bookmarkEnd w:id="262"/>
      <w:r>
        <w:rPr>
          <w:rStyle w:val="DeltaViewMoveSource"/>
        </w:rPr>
        <w:t>or (ii) approved in writing by the Lenders</w:t>
      </w:r>
      <w:bookmarkStart w:id="265" w:name="_DV_C50"/>
      <w:bookmarkEnd w:id="263"/>
      <w:bookmarkEnd w:id="264"/>
      <w:r>
        <w:rPr>
          <w:rStyle w:val="DeltaViewDeletion"/>
        </w:rPr>
        <w:t>, and (d) up to U.S.$</w:t>
      </w:r>
      <w:r>
        <w:rPr>
          <w:rStyle w:val="DeltaViewDeletion"/>
          <w:b/>
          <w:bCs/>
        </w:rPr>
        <w:t>[_____]</w:t>
      </w:r>
      <w:bookmarkStart w:id="266" w:name="_DV_C51"/>
      <w:bookmarkStart w:id="267" w:name="_DV_X36"/>
      <w:bookmarkEnd w:id="265"/>
      <w:r>
        <w:rPr>
          <w:rStyle w:val="DeltaViewMoveSource"/>
        </w:rPr>
        <w:t xml:space="preserve"> (the </w:t>
      </w:r>
      <w:r>
        <w:rPr>
          <w:rStyle w:val="DeltaViewMoveSource"/>
          <w:b/>
          <w:bCs/>
        </w:rPr>
        <w:t>Unbudgeted Contingency Amount</w:t>
      </w:r>
      <w:bookmarkStart w:id="268" w:name="_DV_C52"/>
      <w:bookmarkEnd w:id="266"/>
      <w:bookmarkEnd w:id="267"/>
      <w:r>
        <w:rPr>
          <w:rStyle w:val="DeltaViewDeletion"/>
        </w:rPr>
        <w:t>) shall be used to cover increased costs (other than</w:t>
      </w:r>
      <w:bookmarkStart w:id="269" w:name="_DV_C53"/>
      <w:bookmarkStart w:id="270" w:name="_DV_X34"/>
      <w:bookmarkEnd w:id="268"/>
      <w:r>
        <w:rPr>
          <w:rStyle w:val="DeltaViewMoveSource"/>
        </w:rPr>
        <w:t xml:space="preserve"> Change Orders) of any Borrower that are not contemplated in the Construction Budget in effect [on the date hereof]</w:t>
      </w:r>
      <w:bookmarkStart w:id="271" w:name="_DV_C54"/>
      <w:bookmarkEnd w:id="269"/>
      <w:bookmarkEnd w:id="270"/>
      <w:r>
        <w:rPr>
          <w:rStyle w:val="DeltaViewDeletion"/>
        </w:rPr>
        <w:t xml:space="preserve">.  The foregoing categorization of Excess Contribution Amounts is made solely for the purpose of calculating the reductions in the overall Excess Contribution Amount pursuant to the last paragraph of this clause (b) and shall not limit the types of Project Costs for which Capital Contributions hereunder may be applied.   </w:t>
      </w:r>
      <w:bookmarkStart w:id="272" w:name="_DV_M162"/>
      <w:bookmarkEnd w:id="271"/>
      <w:bookmarkEnd w:id="272"/>
      <w:r>
        <w:rPr>
          <w:color w:val="000000"/>
        </w:rPr>
        <w:t>Any Capital Contribution made under this Section 2.1(b) to any Financing Company (other than GasBol) shall be made by each applicable Shareholder by means of an application and subscription for additional shares of such Financing Company in accordance with the Articles of Incorporation of such Financing Company.  If at any time and from time to time a Borrower has Cost Overruns that exceed U.S.$</w:t>
      </w:r>
      <w:r>
        <w:rPr>
          <w:b/>
          <w:bCs/>
          <w:color w:val="000000"/>
        </w:rPr>
        <w:t>[</w:t>
      </w:r>
      <w:r>
        <w:rPr>
          <w:color w:val="000000"/>
        </w:rPr>
        <w:t>_____</w:t>
      </w:r>
      <w:r>
        <w:rPr>
          <w:b/>
          <w:bCs/>
          <w:color w:val="000000"/>
        </w:rPr>
        <w:t>]</w:t>
      </w:r>
      <w:bookmarkStart w:id="273" w:name="_DV_M163"/>
      <w:bookmarkEnd w:id="273"/>
      <w:r>
        <w:rPr>
          <w:color w:val="000000"/>
        </w:rPr>
        <w:t xml:space="preserve"> in the case of EPE, U.S.$</w:t>
      </w:r>
      <w:r>
        <w:rPr>
          <w:b/>
          <w:bCs/>
          <w:color w:val="000000"/>
        </w:rPr>
        <w:t>[</w:t>
      </w:r>
      <w:r>
        <w:rPr>
          <w:color w:val="000000"/>
        </w:rPr>
        <w:t>_______</w:t>
      </w:r>
      <w:r>
        <w:rPr>
          <w:b/>
          <w:bCs/>
          <w:color w:val="000000"/>
        </w:rPr>
        <w:t>]</w:t>
      </w:r>
      <w:r>
        <w:rPr>
          <w:color w:val="000000"/>
        </w:rPr>
        <w:t xml:space="preserve"> in the case of GasBol, and U.S.$</w:t>
      </w:r>
      <w:r>
        <w:rPr>
          <w:b/>
          <w:bCs/>
          <w:color w:val="000000"/>
        </w:rPr>
        <w:t>[</w:t>
      </w:r>
      <w:r>
        <w:rPr>
          <w:color w:val="000000"/>
        </w:rPr>
        <w:t>______</w:t>
      </w:r>
      <w:r>
        <w:rPr>
          <w:b/>
          <w:bCs/>
          <w:color w:val="000000"/>
        </w:rPr>
        <w:t>]</w:t>
      </w:r>
      <w:r>
        <w:rPr>
          <w:color w:val="000000"/>
        </w:rPr>
        <w:t xml:space="preserve"> in the case of GasMat, each of the other Borrowers agrees to make loans to such Borrower to the extent necessary to cover such Cost Overruns in accordance with their respective [Equity Commitment Percentages].</w:t>
      </w:r>
      <w:r>
        <w:rPr>
          <w:rStyle w:val="FootnoteCharacters"/>
          <w:rStyle w:val="FootnoteReference"/>
          <w:color w:val="000000"/>
        </w:rPr>
        <w:footnoteReference w:id="6"/>
      </w:r>
      <w:bookmarkStart w:id="274" w:name="_DV_M164"/>
      <w:bookmarkEnd w:id="274"/>
      <w:r>
        <w:rPr>
          <w:color w:val="000000"/>
        </w:rPr>
        <w:t xml:space="preserve">  Such loans when and to the extent made shall constitute Cost Overruns of the Borrower(s) making such loans; and the  Shareholders agree that their obligations to make Equity Contributions under this Section 2.1(b) shall cover such Cost Overruns. Equity Contributions made in respect of Excess Contribution Amounts shall be in addition to any Equity Contributions made in respect of the Base Equity Amount. </w:t>
      </w:r>
    </w:p>
    <w:p>
      <w:pPr>
        <w:pStyle w:val="Normal"/>
        <w:tabs>
          <w:tab w:val="left" w:pos="720" w:leader="none"/>
        </w:tabs>
        <w:ind w:hanging="720" w:start="720" w:end="0"/>
        <w:jc w:val="both"/>
        <w:rPr/>
      </w:pPr>
      <w:bookmarkStart w:id="275" w:name="_DV_M165"/>
      <w:bookmarkEnd w:id="275"/>
      <w:r>
        <w:rPr>
          <w:color w:val="000000"/>
        </w:rPr>
        <w:tab/>
        <w:t xml:space="preserve">If any stamp tax is imposed on or in respect of the YPF Gas Supply Agreement by any Governmental Authority in Argentina, the Shareholders and the Sponsors agree that if such stamp tax is payable before the Project Completion Date, then the Shareholders shall make Equity Contributions to EPE in an amount equal to the portion of such stamp tax payable by EPE in accordance with their respective Equity Commitment Percentages.  All  Equity Contributions made pursuant to this paragraph shall reduce the </w:t>
      </w:r>
      <w:bookmarkStart w:id="276" w:name="_DV_C55"/>
      <w:r>
        <w:rPr>
          <w:rStyle w:val="DeltaViewDeletion"/>
        </w:rPr>
        <w:t>Excess Contribution</w:t>
      </w:r>
      <w:bookmarkStart w:id="277" w:name="_DV_C56"/>
      <w:bookmarkEnd w:id="276"/>
      <w:r>
        <w:rPr>
          <w:rStyle w:val="DeltaViewInsertion"/>
        </w:rPr>
        <w:t>Unbudgeted Contingency</w:t>
      </w:r>
      <w:bookmarkStart w:id="278" w:name="_DV_M166"/>
      <w:bookmarkEnd w:id="277"/>
      <w:bookmarkEnd w:id="278"/>
      <w:r>
        <w:rPr>
          <w:color w:val="000000"/>
        </w:rPr>
        <w:t xml:space="preserve"> Amount by the amount of such Equity Contributions to the extent that the proceeds thereof are used by EPE to pay any such stamp tax payable by it.</w:t>
      </w:r>
    </w:p>
    <w:p>
      <w:pPr>
        <w:pStyle w:val="a"/>
        <w:tabs>
          <w:tab w:val="left" w:pos="720" w:leader="none"/>
        </w:tabs>
        <w:rPr>
          <w:color w:val="000000"/>
        </w:rPr>
      </w:pPr>
      <w:bookmarkStart w:id="279" w:name="_DV_M167"/>
      <w:bookmarkEnd w:id="279"/>
      <w:r>
        <w:rPr>
          <w:color w:val="000000"/>
        </w:rPr>
        <w:tab/>
        <w:t xml:space="preserve">The Fuel Oil Reimbursement Amount shall be reduced </w:t>
      </w:r>
      <w:r>
        <w:rPr>
          <w:color w:val="000000"/>
          <w:u w:val="single"/>
        </w:rPr>
        <w:t>pro</w:t>
      </w:r>
      <w:r>
        <w:rPr>
          <w:color w:val="000000"/>
        </w:rPr>
        <w:t xml:space="preserve"> </w:t>
      </w:r>
      <w:r>
        <w:rPr>
          <w:color w:val="000000"/>
          <w:u w:val="single"/>
        </w:rPr>
        <w:t>tanto</w:t>
      </w:r>
      <w:r>
        <w:rPr>
          <w:color w:val="000000"/>
        </w:rPr>
        <w:t xml:space="preserve"> (i) by each payment made</w:t>
      </w:r>
      <w:bookmarkStart w:id="280" w:name="_DV_C57"/>
      <w:r>
        <w:rPr>
          <w:rStyle w:val="DeltaViewInsertion"/>
        </w:rPr>
        <w:t>, and demonstrated to be made to the Lenders' satisfaction,</w:t>
      </w:r>
      <w:bookmarkStart w:id="281" w:name="_DV_M168"/>
      <w:bookmarkEnd w:id="280"/>
      <w:bookmarkEnd w:id="281"/>
      <w:r>
        <w:rPr>
          <w:color w:val="000000"/>
        </w:rPr>
        <w:t xml:space="preserve"> under the Petrobras Letter of Credit to the extent that Petrobras is not otherwise compensated through funds disbursed from the CCC Account,  (ii) to the extent ANEEL issues an approval, in form and substance satisfactory to the Lenders and their counsel, with respect to CCC Account compensation for diesel fuel sufficient to run the Power Plant at 300 MW for a period at least </w:t>
      </w:r>
      <w:bookmarkStart w:id="282" w:name="_DV_C58"/>
      <w:r>
        <w:rPr>
          <w:rStyle w:val="DeltaViewDeletion"/>
        </w:rPr>
        <w:t>equal to [_____]</w:t>
      </w:r>
      <w:bookmarkStart w:id="283" w:name="_DV_C59"/>
      <w:bookmarkEnd w:id="282"/>
      <w:r>
        <w:rPr>
          <w:rStyle w:val="DeltaViewInsertion"/>
        </w:rPr>
        <w:t>until the Conversion Date</w:t>
      </w:r>
      <w:bookmarkStart w:id="284" w:name="_DV_M169"/>
      <w:bookmarkEnd w:id="283"/>
      <w:bookmarkEnd w:id="284"/>
      <w:r>
        <w:rPr>
          <w:color w:val="000000"/>
        </w:rPr>
        <w:t xml:space="preserve"> and (iii) to the extent the PPA Guarantor confirms in writing, in form and substance satisfactory to the Lenders and their counsel, that it is fully responsible for reimbursing EPE for all diesel fuel costs incurred by EPE.  The Contingent Penalties Amount shall be reduced (i) to U.S.$[11,000,000], if [the Lenders accept the letter from the Power Purchaser]</w:t>
      </w:r>
      <w:r>
        <w:rPr>
          <w:rStyle w:val="FootnoteCharacters"/>
          <w:rStyle w:val="FootnoteReference"/>
          <w:color w:val="000000"/>
        </w:rPr>
        <w:footnoteReference w:id="7"/>
      </w:r>
      <w:bookmarkStart w:id="285" w:name="_DV_M170"/>
      <w:bookmarkEnd w:id="285"/>
      <w:r>
        <w:rPr>
          <w:color w:val="000000"/>
        </w:rPr>
        <w:t xml:space="preserve">  and (ii) to zero, if the Lenders receive confirmation from the Power Purchaser that the Power Purchaser has accepted the Force Majeure Claims and that no penalties are therefore due to the Power Purchaser  in respect of the delays to which such Force Majeure Claims relate, which confirmation shall be in form and substance satisfactory to the Lenders and their counsel</w:t>
      </w:r>
      <w:bookmarkStart w:id="286" w:name="_DV_C60"/>
      <w:r>
        <w:rPr>
          <w:rStyle w:val="DeltaViewInsertion"/>
        </w:rPr>
        <w:t>.  The Change Order Amount shall be reduced pro tanto with respect to each Budgeted Change Order subject to arbitration, by the amount of such Budgeted Change Order that the relevant arbitral award resolves is not payable by the relevant Borrower, evidence of which shall be in form and substance satisfactory to the Lenders and their counsel.</w:t>
      </w:r>
      <w:bookmarkEnd w:id="286"/>
    </w:p>
    <w:p>
      <w:pPr>
        <w:pStyle w:val="a"/>
        <w:tabs>
          <w:tab w:val="left" w:pos="720" w:leader="none"/>
        </w:tabs>
        <w:rPr/>
      </w:pPr>
      <w:bookmarkStart w:id="287" w:name="_DV_M171"/>
      <w:bookmarkEnd w:id="287"/>
      <w:r>
        <w:rPr>
          <w:color w:val="000000"/>
        </w:rPr>
        <w:t>(c)</w:t>
        <w:tab/>
      </w:r>
      <w:r>
        <w:rPr>
          <w:b/>
          <w:bCs/>
          <w:color w:val="000000"/>
        </w:rPr>
        <w:t>Payments</w:t>
      </w:r>
      <w:r>
        <w:rPr>
          <w:color w:val="000000"/>
        </w:rPr>
        <w:t>.  Each Shareholder and Permitted Transferee thereof shall make its Equity Contributions in U.S. Dollars and in immediately available funds by direct payment of the aggregate amount thereof (without reduction for or on account of any set-off, counterclaim, or other right that such Shareholder may have against the Common Agent, any Secured Party, the Borrowers, or any other Person or that any Borrower may have against the Common Agent, any other Secured Party or any other Person) for deposit and application in accordance with the terms of  the Disbursement Agreement.  Except as provided in Section 3.4.2 of the Common Agreement, no Equity Contribution shall reduce the Base Equity Amount or the Excess Contribution Amount to the extent (a) such Equity Contribution was not or is not used to pay for Project Costs included in the Construction Budget or (b) such Equity Contribution was or is being used to pay for Development Costs in excess of U.S.$[</w:t>
      </w:r>
      <w:r>
        <w:rPr>
          <w:b/>
          <w:bCs/>
          <w:color w:val="000000"/>
        </w:rPr>
        <w:t>27,700,000</w:t>
      </w:r>
      <w:r>
        <w:rPr>
          <w:color w:val="000000"/>
        </w:rPr>
        <w:t>].</w:t>
      </w:r>
      <w:r>
        <w:rPr>
          <w:rStyle w:val="FootnoteCharacters"/>
          <w:rStyle w:val="FootnoteReference"/>
          <w:color w:val="000000"/>
        </w:rPr>
        <w:footnoteReference w:id="8"/>
      </w:r>
      <w:bookmarkStart w:id="288" w:name="_DV_M172"/>
      <w:bookmarkEnd w:id="288"/>
      <w:r>
        <w:rPr>
          <w:color w:val="000000"/>
        </w:rPr>
        <w:t xml:space="preserve">  </w:t>
      </w:r>
    </w:p>
    <w:p>
      <w:pPr>
        <w:pStyle w:val="a"/>
        <w:tabs>
          <w:tab w:val="left" w:pos="720" w:leader="none"/>
        </w:tabs>
        <w:rPr/>
      </w:pPr>
      <w:bookmarkStart w:id="289" w:name="_DV_M173"/>
      <w:bookmarkEnd w:id="289"/>
      <w:r>
        <w:rPr>
          <w:color w:val="000000"/>
        </w:rPr>
        <w:t>(d)</w:t>
        <w:tab/>
      </w:r>
      <w:r>
        <w:rPr>
          <w:b/>
          <w:bCs/>
          <w:color w:val="000000"/>
        </w:rPr>
        <w:t>Maximum Equity Contribution Amount</w:t>
      </w:r>
      <w:r>
        <w:rPr>
          <w:color w:val="000000"/>
        </w:rPr>
        <w:t>.  Notwithstanding anything in this Agreement to the contrary (including, without limitation, clauses (a) and (b) of Section 2.1), neither the Shareholders nor their Permitted Transferees shall be obligated at any time to make Equity Contributions in an aggregate amount exceeding U.S</w:t>
      </w:r>
      <w:r>
        <w:rPr>
          <w:b/>
          <w:bCs/>
          <w:color w:val="000000"/>
        </w:rPr>
        <w:t>.$[______]</w:t>
      </w:r>
      <w:r>
        <w:rPr>
          <w:color w:val="000000"/>
        </w:rPr>
        <w:t>, [or in an amount in excess of their respective Equity Commitment Percentages thereof].</w:t>
      </w:r>
    </w:p>
    <w:p>
      <w:pPr>
        <w:pStyle w:val="Paragraph2"/>
        <w:widowControl/>
        <w:tabs>
          <w:tab w:val="clear" w:pos="0"/>
          <w:tab w:val="clear" w:pos="1800"/>
          <w:tab w:val="clear" w:pos="1980"/>
          <w:tab w:val="clear" w:pos="2880"/>
          <w:tab w:val="clear" w:pos="3600"/>
          <w:tab w:val="clear" w:pos="4320"/>
          <w:tab w:val="clear" w:pos="5040"/>
          <w:tab w:val="clear" w:pos="5760"/>
          <w:tab w:val="clear" w:pos="6480"/>
          <w:tab w:val="clear" w:pos="7200"/>
          <w:tab w:val="clear" w:pos="7920"/>
          <w:tab w:val="clear" w:pos="9000"/>
          <w:tab w:val="clear" w:pos="9720"/>
          <w:tab w:val="left" w:pos="-1440" w:leader="none"/>
          <w:tab w:val="left" w:pos="-720" w:leader="none"/>
          <w:tab w:val="left" w:pos="720" w:leader="none"/>
        </w:tabs>
        <w:spacing w:lineRule="exact" w:line="288"/>
        <w:ind w:hanging="720" w:end="0"/>
        <w:jc w:val="both"/>
        <w:rPr/>
      </w:pPr>
      <w:bookmarkStart w:id="290" w:name="_DV_M174"/>
      <w:bookmarkEnd w:id="290"/>
      <w:r>
        <w:rPr>
          <w:rFonts w:cs="Times New Roman" w:ascii="Times New Roman" w:hAnsi="Times New Roman"/>
          <w:color w:val="000000"/>
          <w:lang w:val="es-ES"/>
        </w:rPr>
        <w:t>(e)</w:t>
        <w:tab/>
      </w:r>
      <w:r>
        <w:rPr>
          <w:rFonts w:cs="Times New Roman" w:ascii="Times New Roman" w:hAnsi="Times New Roman"/>
          <w:b/>
          <w:bCs/>
          <w:color w:val="000000"/>
          <w:lang w:val="es-ES"/>
        </w:rPr>
        <w:t xml:space="preserve">Insolvency; Acceleration.  </w:t>
      </w:r>
      <w:r>
        <w:rPr>
          <w:rFonts w:cs="Times New Roman" w:ascii="Times New Roman" w:hAnsi="Times New Roman"/>
          <w:color w:val="000000"/>
        </w:rPr>
        <w:t xml:space="preserve">Notwithstanding anything to contrary in this Agreement, upon the occurrence of (i) an Event of Default under any of clauses (h), (i), or (j) of Section 9.1 of the Common Agreement with respect to any Shareholder, Sponsor, or a Permitted Transferee thereof or (ii) the acceleration of the maturity of any Advances, each Shareholder and Permitted Transferee thereof  shall automatically and immediately, without presentment, demand, diligence, protest, notice of acceleration, or other notices, or demand of any kind, all of which is hereby expressly waived, pay (or caused to be paid) to the Common Agent for application to the Obligations an amount equal to (x) the sum of (a) its Equity Commitment Amount and (b) the Budgeted Change Order Amount less (y) the aggregate amount of Equity Contributions then previously made by it pursuant to Section 2.1(a) and in respect of Budgeted Change Orders pursuant to Section 2.1(b), by causing such amount to be deposited in the [GasBol Debt Service Payment Account] (as defined in the Disbursement Agreement). </w:t>
      </w:r>
    </w:p>
    <w:p>
      <w:pPr>
        <w:pStyle w:val="Paragraph2"/>
        <w:widowControl/>
        <w:tabs>
          <w:tab w:val="clear" w:pos="0"/>
          <w:tab w:val="clear" w:pos="1800"/>
          <w:tab w:val="clear" w:pos="1980"/>
          <w:tab w:val="clear" w:pos="2880"/>
          <w:tab w:val="clear" w:pos="3600"/>
          <w:tab w:val="clear" w:pos="4320"/>
          <w:tab w:val="clear" w:pos="5040"/>
          <w:tab w:val="clear" w:pos="5760"/>
          <w:tab w:val="clear" w:pos="6480"/>
          <w:tab w:val="clear" w:pos="7200"/>
          <w:tab w:val="clear" w:pos="7920"/>
          <w:tab w:val="clear" w:pos="9000"/>
          <w:tab w:val="clear" w:pos="9720"/>
          <w:tab w:val="left" w:pos="-1440" w:leader="none"/>
          <w:tab w:val="left" w:pos="-720" w:leader="none"/>
          <w:tab w:val="left" w:pos="720" w:leader="none"/>
        </w:tabs>
        <w:spacing w:lineRule="exact" w:line="288"/>
        <w:ind w:hanging="720" w:end="0"/>
        <w:jc w:val="both"/>
        <w:rPr/>
      </w:pPr>
      <w:bookmarkStart w:id="291" w:name="_DV_M175"/>
      <w:bookmarkEnd w:id="291"/>
      <w:r>
        <w:rPr>
          <w:rFonts w:cs="Times New Roman" w:ascii="Times New Roman" w:hAnsi="Times New Roman"/>
          <w:color w:val="000000"/>
        </w:rPr>
        <w:t>(f)</w:t>
        <w:tab/>
      </w:r>
      <w:r>
        <w:rPr>
          <w:rFonts w:cs="Times New Roman" w:ascii="Times New Roman" w:hAnsi="Times New Roman"/>
          <w:b/>
          <w:bCs/>
          <w:color w:val="000000"/>
        </w:rPr>
        <w:t>Equity Contributions to EPE and GasMat</w:t>
      </w:r>
      <w:r>
        <w:rPr>
          <w:rFonts w:cs="Times New Roman" w:ascii="Times New Roman" w:hAnsi="Times New Roman"/>
          <w:color w:val="000000"/>
        </w:rPr>
        <w:t>.  EPE Holdings and GasMat Holdings shall make, or cause to be made, Equity Contributions to its Subsidiary, EPE or GasMat, as the case may be, on each date on which Uncovered Project Costs are due and payable by such Borrower in an amount not exceeding the aggregate amount of Equity Contributions made to EPE Holdings or GasMat Holdings (as the case may be) under Section 2.1(a) or (b).</w:t>
      </w:r>
    </w:p>
    <w:p>
      <w:pPr>
        <w:pStyle w:val="Normal"/>
        <w:jc w:val="both"/>
        <w:rPr/>
      </w:pPr>
      <w:bookmarkStart w:id="292" w:name="_DV_M176"/>
      <w:bookmarkEnd w:id="292"/>
      <w:r>
        <w:rPr>
          <w:b/>
          <w:bCs/>
          <w:color w:val="000000"/>
        </w:rPr>
        <w:t>2.2</w:t>
        <w:tab/>
        <w:t xml:space="preserve">Project Completion.  </w:t>
      </w:r>
      <w:r>
        <w:rPr>
          <w:b/>
          <w:bCs/>
          <w:i/>
          <w:iCs/>
          <w:color w:val="000000"/>
        </w:rPr>
        <w:t>Project Completion</w:t>
      </w:r>
      <w:r>
        <w:rPr>
          <w:color w:val="000000"/>
        </w:rPr>
        <w:t xml:space="preserve"> shall be deemed to mean and to occur on the  date (the </w:t>
      </w:r>
      <w:r>
        <w:rPr>
          <w:b/>
          <w:bCs/>
          <w:i/>
          <w:iCs/>
          <w:color w:val="000000"/>
        </w:rPr>
        <w:t>Project Completion Date</w:t>
      </w:r>
      <w:r>
        <w:rPr>
          <w:color w:val="000000"/>
        </w:rPr>
        <w:t>) on which the Lenders notify the Sponsors that the following conditions have been accomplished to the satisfaction of the Lenders as of the date of the Completion Certificate (as defined below):</w:t>
      </w:r>
    </w:p>
    <w:p>
      <w:pPr>
        <w:pStyle w:val="Normal"/>
        <w:ind w:hanging="720" w:start="720" w:end="0"/>
        <w:jc w:val="both"/>
        <w:rPr/>
      </w:pPr>
      <w:bookmarkStart w:id="293" w:name="_DV_M177"/>
      <w:bookmarkEnd w:id="293"/>
      <w:r>
        <w:rPr>
          <w:color w:val="000000"/>
        </w:rPr>
        <w:t>(a)</w:t>
        <w:tab/>
      </w:r>
      <w:r>
        <w:rPr>
          <w:b/>
          <w:bCs/>
          <w:color w:val="000000"/>
        </w:rPr>
        <w:t xml:space="preserve">Completion Certificate.  </w:t>
      </w:r>
      <w:r>
        <w:rPr>
          <w:color w:val="000000"/>
        </w:rPr>
        <w:t xml:space="preserve">The Borrowers shall have delivered to the Lenders a certificate substantially in the form of Exhibit A (the </w:t>
      </w:r>
      <w:r>
        <w:rPr>
          <w:b/>
          <w:bCs/>
          <w:i/>
          <w:iCs/>
          <w:color w:val="000000"/>
        </w:rPr>
        <w:t>Completion Certificate),</w:t>
      </w:r>
      <w:r>
        <w:rPr>
          <w:color w:val="000000"/>
        </w:rPr>
        <w:t xml:space="preserve"> duly completed and executed by an Authorized Representative of the Sponsors and together with all required attachments (including the certificate of the Independent Engineer), and certifying that each of the conditions in clauses (b), (c), and (d) below shall have been and remain satisfied.</w:t>
      </w:r>
    </w:p>
    <w:p>
      <w:pPr>
        <w:pStyle w:val="Normal"/>
        <w:keepNext w:val="true"/>
        <w:keepLines/>
        <w:ind w:hanging="720" w:start="720" w:end="0"/>
        <w:jc w:val="both"/>
        <w:rPr/>
      </w:pPr>
      <w:bookmarkStart w:id="294" w:name="_DV_M178"/>
      <w:bookmarkEnd w:id="294"/>
      <w:r>
        <w:rPr>
          <w:color w:val="000000"/>
        </w:rPr>
        <w:t>(b)</w:t>
        <w:tab/>
      </w:r>
      <w:r>
        <w:rPr>
          <w:b/>
          <w:bCs/>
          <w:color w:val="000000"/>
        </w:rPr>
        <w:t>Physical Completion and Operational Completion Tests</w:t>
      </w:r>
      <w:r>
        <w:rPr>
          <w:color w:val="000000"/>
        </w:rPr>
        <w:t>.</w:t>
      </w:r>
    </w:p>
    <w:p>
      <w:pPr>
        <w:pStyle w:val="Normal"/>
        <w:keepNext w:val="true"/>
        <w:keepLines/>
        <w:ind w:hanging="720" w:start="1440" w:end="0"/>
        <w:jc w:val="both"/>
        <w:rPr>
          <w:color w:val="000000"/>
        </w:rPr>
      </w:pPr>
      <w:bookmarkStart w:id="295" w:name="_DV_M179"/>
      <w:bookmarkEnd w:id="295"/>
      <w:r>
        <w:rPr>
          <w:color w:val="000000"/>
        </w:rPr>
        <w:t>(i)</w:t>
        <w:tab/>
        <w:t>The Project Facilities (A) have been designed, constructed, commissioned, tested, and accepted by any Governmental Authorities (if required) and (B) are capable of operating on a normal basis, in each case in accordance with the EPC Contract and the other Project Documents;</w:t>
      </w:r>
    </w:p>
    <w:p>
      <w:pPr>
        <w:pStyle w:val="BodyTextIndent2"/>
        <w:ind w:hanging="720" w:start="1440" w:end="0"/>
        <w:rPr/>
      </w:pPr>
      <w:bookmarkStart w:id="296" w:name="_DV_M180"/>
      <w:bookmarkEnd w:id="296"/>
      <w:r>
        <w:rPr>
          <w:color w:val="000000"/>
        </w:rPr>
        <w:t>(ii)</w:t>
        <w:tab/>
        <w:t>Final Completion has been achieved for each of the Power Plant Facility, the Pipelines, and the T&amp;D Facilities, including completion of all Punch List Items (each as defined in the EPC Contract); the final invoice has been paid under the Construction Contracts,</w:t>
      </w:r>
      <w:r>
        <w:rPr>
          <w:rStyle w:val="FootnoteCharacters"/>
          <w:rStyle w:val="FootnoteReference"/>
          <w:color w:val="000000"/>
        </w:rPr>
        <w:footnoteReference w:id="9"/>
      </w:r>
      <w:bookmarkStart w:id="297" w:name="_DV_M181"/>
      <w:bookmarkEnd w:id="297"/>
      <w:r>
        <w:rPr>
          <w:color w:val="000000"/>
        </w:rPr>
        <w:t xml:space="preserve"> no payment remains due and unpaid by the Contractor to the Borrowers in respect of liquidated damages or otherwise, under the EPC Contract, and no payment remains due and unpaid by or on behalf of any Borrower to any Material Project Participant relating to construction of the Project Facilities, in respect of penalties or otherwise, under any Project Document or to the Contractor under the EPC Contract (including in respect of bonuses); and no other Project Costs that were due and payable on or prior to the date of the Completion Certificate remain due and unpaid, except, in each case, for payments in an aggregate amount of U.S.$3,000,000 or less that are the subject of a good faith contest or payments which have been reserved against with Acceptable Credit Support; and the Lenders and the Common Agent shall have received a certified copy of the Final Completion Certificate.</w:t>
      </w:r>
    </w:p>
    <w:p>
      <w:pPr>
        <w:pStyle w:val="Normal"/>
        <w:ind w:hanging="720" w:start="1440" w:end="0"/>
        <w:jc w:val="both"/>
        <w:rPr>
          <w:b/>
          <w:bCs/>
          <w:color w:val="000000"/>
        </w:rPr>
      </w:pPr>
      <w:bookmarkStart w:id="298" w:name="_DV_M182"/>
      <w:bookmarkEnd w:id="298"/>
      <w:r>
        <w:rPr>
          <w:color w:val="000000"/>
        </w:rPr>
        <w:t>(iii)</w:t>
        <w:tab/>
        <w:t>The Commercial Supply Date (as defined in the Power Purchase Agreement) has occurred with respect to the Power Plant for Commercial Phase III (as defined in the Power Purchase Agreement), including, without limitation that the Changeover to Gas (as defined in the Power Purchase Agreement) shall have occurred.</w:t>
      </w:r>
    </w:p>
    <w:p>
      <w:pPr>
        <w:pStyle w:val="Normal"/>
        <w:ind w:hanging="720" w:start="1440" w:end="0"/>
        <w:jc w:val="both"/>
        <w:rPr>
          <w:color w:val="000000"/>
        </w:rPr>
      </w:pPr>
      <w:bookmarkStart w:id="299" w:name="_DV_M183"/>
      <w:bookmarkEnd w:id="299"/>
      <w:r>
        <w:rPr>
          <w:color w:val="000000"/>
        </w:rPr>
        <w:t>(iv)</w:t>
        <w:tab/>
        <w:t>The Power Plant has been tested in accordance with Section 13.4.1.2 of the EPC Contract using diesel fuel and in so doing complies with all Applicable Laws and the World Bank Guidelines.</w:t>
      </w:r>
    </w:p>
    <w:p>
      <w:pPr>
        <w:pStyle w:val="Normal"/>
        <w:ind w:hanging="720" w:start="1440" w:end="0"/>
        <w:jc w:val="both"/>
        <w:rPr>
          <w:color w:val="000000"/>
        </w:rPr>
      </w:pPr>
      <w:bookmarkStart w:id="300" w:name="_DV_M184"/>
      <w:bookmarkEnd w:id="300"/>
      <w:r>
        <w:rPr>
          <w:color w:val="000000"/>
        </w:rPr>
        <w:t>(v)</w:t>
        <w:tab/>
        <w:t>The Project has been operated in accordance with Prudent Industry Practice and with Applicable Laws and the World Bank Guidelines.</w:t>
      </w:r>
    </w:p>
    <w:p>
      <w:pPr>
        <w:pStyle w:val="Normal"/>
        <w:ind w:hanging="720" w:start="1440" w:end="0"/>
        <w:jc w:val="both"/>
        <w:rPr>
          <w:color w:val="000000"/>
        </w:rPr>
      </w:pPr>
      <w:bookmarkStart w:id="301" w:name="_DV_M185"/>
      <w:bookmarkEnd w:id="301"/>
      <w:r>
        <w:rPr>
          <w:color w:val="000000"/>
        </w:rPr>
        <w:t>(vi)</w:t>
        <w:tab/>
        <w:t>The Project Facilities are staffed with appropriate and necessary management and operations personnel working normal shift patterns to operate the Project Facilities on a normal basis in accordance with Prudent Industry Practice and the Project Documents (it being understood that additional staff required for the start</w:t>
        <w:noBreakHyphen/>
        <w:t>up and testing  of the Project Facilities may have been at the Site during the course of such start-up and testing activities but the participation of such additional staff was not required for the operation of the Project Facilities during such start-up period).</w:t>
      </w:r>
    </w:p>
    <w:p>
      <w:pPr>
        <w:pStyle w:val="Normal"/>
        <w:ind w:hanging="720" w:start="1440" w:end="0"/>
        <w:jc w:val="both"/>
        <w:rPr>
          <w:color w:val="000000"/>
        </w:rPr>
      </w:pPr>
      <w:bookmarkStart w:id="302" w:name="_DV_M186"/>
      <w:bookmarkEnd w:id="302"/>
      <w:r>
        <w:rPr>
          <w:color w:val="000000"/>
        </w:rPr>
        <w:t>(vii)</w:t>
        <w:tab/>
        <w:t>Arrangements are in place for metering and invoicing of, and the payment for, the provision of transportation services by the Project Pipelines to TBS and the provision of electricity by the Power Plant to the Power Purchaser, in each case  on a normal and continuous basis and in accordance with Prudent Industry Practice and the Project Documents; EPE has delivered on or before the Closing Date at least one invoice for the Guaranteed Capacity Price and the Energy Price (each as defined in the Power Purchase Agreement) to the Power Purchaser pursuant to the Power Purchase Agreement (together with the operating report and supporting documentation required by the Power Purchase Agreement); and that all amounts due and payable under such invoice(s) are paid to the EPE Onshore Revenue Account by or on behalf of the Power Purchaser.</w:t>
      </w:r>
    </w:p>
    <w:p>
      <w:pPr>
        <w:pStyle w:val="Normal"/>
        <w:ind w:hanging="720" w:start="1440" w:end="0"/>
        <w:jc w:val="both"/>
        <w:rPr>
          <w:color w:val="000000"/>
        </w:rPr>
      </w:pPr>
      <w:bookmarkStart w:id="303" w:name="_DV_M187"/>
      <w:bookmarkEnd w:id="303"/>
      <w:r>
        <w:rPr>
          <w:color w:val="000000"/>
        </w:rPr>
        <w:t xml:space="preserve">(viii) </w:t>
        <w:tab/>
        <w:t>The Common Agent and the Lenders shall have received the initial Operating Budget required under Section 7.1.3 of the Common Agreement.</w:t>
      </w:r>
    </w:p>
    <w:p>
      <w:pPr>
        <w:pStyle w:val="BodyTextIndent2"/>
        <w:ind w:hanging="720" w:start="1440" w:end="0"/>
        <w:rPr>
          <w:color w:val="000000"/>
        </w:rPr>
      </w:pPr>
      <w:bookmarkStart w:id="304" w:name="_DV_M188"/>
      <w:bookmarkEnd w:id="304"/>
      <w:r>
        <w:rPr>
          <w:rFonts w:eastAsia="Times New Roman"/>
          <w:color w:val="000000"/>
        </w:rPr>
        <w:t xml:space="preserve"> </w:t>
      </w:r>
      <w:r>
        <w:rPr>
          <w:color w:val="000000"/>
        </w:rPr>
        <w:t>(ix)</w:t>
        <w:tab/>
        <w:t>The design simulation program shall have been rerun with actual flow data from the Project Pipelines to calibrate the model and to confirm the maximum freeflow capacity (without compression) of the system is 99.603 million cubic square feet per day at an inlet pressure of 1,115 pounds per square inch at the GTB Pipeline, 639.7 pounds per square inch at the inlet to the GasMat Pipeline, and 536 pounds per square inch at the Power Plant.</w:t>
      </w:r>
    </w:p>
    <w:p>
      <w:pPr>
        <w:pStyle w:val="Normal"/>
        <w:ind w:hanging="720" w:start="720" w:end="0"/>
        <w:rPr/>
      </w:pPr>
      <w:bookmarkStart w:id="305" w:name="_DV_M189"/>
      <w:bookmarkEnd w:id="305"/>
      <w:r>
        <w:rPr>
          <w:color w:val="000000"/>
        </w:rPr>
        <w:t>(c)</w:t>
        <w:tab/>
      </w:r>
      <w:r>
        <w:rPr>
          <w:b/>
          <w:bCs/>
          <w:color w:val="000000"/>
        </w:rPr>
        <w:t>Legal Conditions.</w:t>
      </w:r>
    </w:p>
    <w:p>
      <w:pPr>
        <w:pStyle w:val="Normal"/>
        <w:ind w:hanging="720" w:start="1440" w:end="0"/>
        <w:jc w:val="both"/>
        <w:rPr>
          <w:color w:val="000000"/>
        </w:rPr>
      </w:pPr>
      <w:bookmarkStart w:id="306" w:name="_DV_M190"/>
      <w:bookmarkEnd w:id="306"/>
      <w:r>
        <w:rPr>
          <w:color w:val="000000"/>
        </w:rPr>
        <w:t>(i)</w:t>
        <w:tab/>
        <w:t>No default has occurred and is continuing under any of the Operative Documents which could reasonably be expected to have a Material Adverse Effect.</w:t>
      </w:r>
    </w:p>
    <w:p>
      <w:pPr>
        <w:pStyle w:val="Normal"/>
        <w:ind w:hanging="720" w:start="1440" w:end="0"/>
        <w:jc w:val="both"/>
        <w:rPr>
          <w:color w:val="000000"/>
        </w:rPr>
      </w:pPr>
      <w:bookmarkStart w:id="307" w:name="_DV_M191"/>
      <w:bookmarkEnd w:id="307"/>
      <w:r>
        <w:rPr>
          <w:color w:val="000000"/>
        </w:rPr>
        <w:t>(ii)</w:t>
        <w:tab/>
        <w:t>All Governmental Approvals necessary for the Borrowers  to operate the current stage of Development of the Project on a normal and continuous basis and to deliver, sell, and receive payment for the generation of electricity (in the case of EPE) or the transportation of natural gas (in the case of GasBol and GasMat), and as contemplated by the Operative Documents have been obtained and are in full force and effect, and operative, and are free from conditions or requirements the compliance with which could reasonably be expected to have a Material Adverse Effect or which the Borrowers do not expect to be able to satisfy on or prior to the commencement of the appropriate stage of Development of the Project Facilities.</w:t>
      </w:r>
    </w:p>
    <w:p>
      <w:pPr>
        <w:pStyle w:val="Normal"/>
        <w:ind w:hanging="720" w:start="1440" w:end="0"/>
        <w:jc w:val="both"/>
        <w:rPr>
          <w:color w:val="000000"/>
        </w:rPr>
      </w:pPr>
      <w:bookmarkStart w:id="308" w:name="_DV_M192"/>
      <w:bookmarkEnd w:id="308"/>
      <w:r>
        <w:rPr>
          <w:color w:val="000000"/>
        </w:rPr>
        <w:t>(iii)</w:t>
        <w:tab/>
        <w:t>The Lenders shall have received such supplemental opinions of counsel to the Borrowers with respect to Governmental Approvals as shall be acceptable to the Lenders and covering such matters as are set forth in Exhibit B hereto, which opinions shall be dated the Project Completion Date and shall be in form and substance reasonably satisfactory to each Lender.</w:t>
      </w:r>
    </w:p>
    <w:p>
      <w:pPr>
        <w:pStyle w:val="FootnoteText"/>
        <w:ind w:hanging="720" w:start="1440" w:end="0"/>
        <w:jc w:val="both"/>
        <w:rPr>
          <w:color w:val="000000"/>
          <w:sz w:val="24"/>
        </w:rPr>
      </w:pPr>
      <w:bookmarkStart w:id="309" w:name="_DV_M193"/>
      <w:bookmarkEnd w:id="309"/>
      <w:r>
        <w:rPr>
          <w:color w:val="000000"/>
          <w:sz w:val="24"/>
        </w:rPr>
        <w:t>(iv)</w:t>
        <w:tab/>
        <w:t>There are no Liens (other than Permitted Liens) on the Project Facilities in connection with work or equipment of the Contractor or other contractors; and the Lien waiver and release has been delivered to the Borrowers by the Contractor pursuant to Section 7.2.5 of the EPC Contract.</w:t>
      </w:r>
    </w:p>
    <w:p>
      <w:pPr>
        <w:pStyle w:val="FootnoteText"/>
        <w:ind w:hanging="720" w:start="1440" w:end="0"/>
        <w:jc w:val="both"/>
        <w:rPr>
          <w:color w:val="000000"/>
          <w:sz w:val="24"/>
        </w:rPr>
      </w:pPr>
      <w:bookmarkStart w:id="310" w:name="_DV_M194"/>
      <w:bookmarkEnd w:id="310"/>
      <w:r>
        <w:rPr>
          <w:color w:val="000000"/>
          <w:sz w:val="24"/>
        </w:rPr>
        <w:t>(v)</w:t>
        <w:tab/>
        <w:t xml:space="preserve">No Event of Force Majeure that is reasonably likely, in light of the circumstances, to lead to the termination of any Operative Document (other than a Non-Material Project Contract) shall have occurred and be continuing.  </w:t>
      </w:r>
    </w:p>
    <w:p>
      <w:pPr>
        <w:pStyle w:val="Normal"/>
        <w:ind w:hanging="720" w:start="1440" w:end="0"/>
        <w:jc w:val="both"/>
        <w:rPr>
          <w:color w:val="000000"/>
        </w:rPr>
      </w:pPr>
      <w:bookmarkStart w:id="311" w:name="_DV_M195"/>
      <w:bookmarkEnd w:id="311"/>
      <w:r>
        <w:rPr>
          <w:color w:val="000000"/>
        </w:rPr>
        <w:t>(vi)</w:t>
        <w:tab/>
        <w:t>The Liquidity Support Agreement shall be in full force and effect unless  terminated in accordance with its terms.</w:t>
      </w:r>
    </w:p>
    <w:p>
      <w:pPr>
        <w:pStyle w:val="Normal"/>
        <w:ind w:hanging="720" w:start="1440" w:end="0"/>
        <w:jc w:val="both"/>
        <w:rPr>
          <w:color w:val="000000"/>
        </w:rPr>
      </w:pPr>
      <w:bookmarkStart w:id="312" w:name="_DV_M196"/>
      <w:bookmarkEnd w:id="312"/>
      <w:r>
        <w:rPr>
          <w:color w:val="000000"/>
        </w:rPr>
        <w:t>(vii)</w:t>
        <w:tab/>
        <w:t>GasMat shall have received a decree from the President of Brazil (or an amendment to Presidential Decree No.      ) permitting the expropriation by GasMat of all tracts of land needed for the construction and maintenance of the GasMat Pipeline in accordance with the requirements of the Transaction Documents and Applicable Law.</w:t>
      </w:r>
      <w:r>
        <w:rPr>
          <w:rStyle w:val="FootnoteCharacters"/>
          <w:rStyle w:val="FootnoteReference"/>
          <w:color w:val="000000"/>
        </w:rPr>
        <w:footnoteReference w:id="10"/>
      </w:r>
    </w:p>
    <w:p>
      <w:pPr>
        <w:pStyle w:val="Normal"/>
        <w:ind w:hanging="720" w:start="720" w:end="0"/>
        <w:rPr/>
      </w:pPr>
      <w:bookmarkStart w:id="313" w:name="_DV_M197"/>
      <w:bookmarkEnd w:id="313"/>
      <w:r>
        <w:rPr>
          <w:color w:val="000000"/>
        </w:rPr>
        <w:t>(d)</w:t>
        <w:tab/>
        <w:t xml:space="preserve">  </w:t>
      </w:r>
      <w:r>
        <w:rPr>
          <w:b/>
          <w:bCs/>
          <w:color w:val="000000"/>
        </w:rPr>
        <w:t>Financial and Other Tests.</w:t>
      </w:r>
    </w:p>
    <w:p>
      <w:pPr>
        <w:pStyle w:val="BodyTextIndent2"/>
        <w:ind w:hanging="720" w:start="1440" w:end="0"/>
        <w:rPr>
          <w:color w:val="000000"/>
        </w:rPr>
      </w:pPr>
      <w:bookmarkStart w:id="314" w:name="_DV_M198"/>
      <w:bookmarkEnd w:id="314"/>
      <w:r>
        <w:rPr>
          <w:color w:val="000000"/>
        </w:rPr>
        <w:t>(i)</w:t>
        <w:tab/>
        <w:t>All Offshore Reserve Accounts and Onshore Reserve Accounts have been fully funded to the then required levels in accordance with the Disbursement Agreement.</w:t>
      </w:r>
    </w:p>
    <w:p>
      <w:pPr>
        <w:pStyle w:val="Normal"/>
        <w:ind w:hanging="720" w:start="1440" w:end="0"/>
        <w:jc w:val="both"/>
        <w:rPr>
          <w:color w:val="000000"/>
        </w:rPr>
      </w:pPr>
      <w:bookmarkStart w:id="315" w:name="_DV_M199"/>
      <w:bookmarkEnd w:id="315"/>
      <w:r>
        <w:rPr>
          <w:color w:val="000000"/>
        </w:rPr>
        <w:t>(ii)</w:t>
        <w:tab/>
        <w:t>All of the Equity Contributions required under Section 2.1 of the Equity Contribution Agreement shall have been made.</w:t>
      </w:r>
    </w:p>
    <w:p>
      <w:pPr>
        <w:pStyle w:val="Normal"/>
        <w:ind w:hanging="720" w:start="1440" w:end="0"/>
        <w:jc w:val="both"/>
        <w:rPr>
          <w:color w:val="000000"/>
        </w:rPr>
      </w:pPr>
      <w:bookmarkStart w:id="316" w:name="_DV_M200"/>
      <w:bookmarkEnd w:id="316"/>
      <w:r>
        <w:rPr>
          <w:color w:val="000000"/>
        </w:rPr>
        <w:t xml:space="preserve">(iii) </w:t>
        <w:tab/>
        <w:t>The Debt to Equity Ratio shall be not greater than 65:35.</w:t>
      </w:r>
    </w:p>
    <w:p>
      <w:pPr>
        <w:pStyle w:val="BodyTextIndent"/>
        <w:tabs>
          <w:tab w:val="clear" w:pos="720"/>
          <w:tab w:val="left" w:pos="1440" w:leader="none"/>
        </w:tabs>
        <w:ind w:hanging="720" w:start="1440" w:end="0"/>
        <w:rPr/>
      </w:pPr>
      <w:bookmarkStart w:id="317" w:name="_DV_M201"/>
      <w:bookmarkEnd w:id="317"/>
      <w:r>
        <w:rPr>
          <w:color w:val="000000"/>
        </w:rPr>
        <w:t>(iv)</w:t>
        <w:tab/>
        <w:t xml:space="preserve">The financial model for the Project will be rerun by the Borrowers (the </w:t>
      </w:r>
      <w:r>
        <w:rPr>
          <w:b/>
          <w:bCs/>
          <w:i/>
          <w:iCs/>
          <w:color w:val="000000"/>
        </w:rPr>
        <w:t>Reliability Test Rerun Model</w:t>
      </w:r>
      <w:r>
        <w:rPr>
          <w:color w:val="000000"/>
        </w:rPr>
        <w:t xml:space="preserve">), using the same assumptions as in the Base Case Projections except that the actual production, actual availability factor, actual consumption,  actual staffing, actual O&amp;M costs, actual capacity and energy tariffs, actual fuel cost, actual loan amounts, actual amortization schedules, and actual interest rates of the Project Facilities in each case set forth in the Completion Certificate and adjusted to an annual basis, rather than the assumptions in the Base Case Projections regarding such matters shall be used in the Reliability Test Rerun Model.  No other changes in such assumptions will be made without the consent of each Lender (not to be unreasonably withheld), in consultation with the Independent Engineer.    </w:t>
      </w:r>
    </w:p>
    <w:p>
      <w:pPr>
        <w:pStyle w:val="BodyTextIndent"/>
        <w:tabs>
          <w:tab w:val="clear" w:pos="720"/>
          <w:tab w:val="left" w:pos="1440" w:leader="none"/>
        </w:tabs>
        <w:ind w:hanging="720" w:start="1440" w:end="0"/>
        <w:rPr>
          <w:color w:val="000000"/>
        </w:rPr>
      </w:pPr>
      <w:bookmarkStart w:id="318" w:name="_DV_M202"/>
      <w:bookmarkEnd w:id="318"/>
      <w:r>
        <w:rPr>
          <w:color w:val="000000"/>
        </w:rPr>
        <w:t>(v)</w:t>
        <w:tab/>
        <w:t>The Reliability Test Rerun Model indicates that the Projected Debt Service Coverage Ratio for each fiscal year of the Borrowers occurring immediately after such date until the Final Loan Maturity Date such be not less than 1.2 to 1.0.</w:t>
      </w:r>
    </w:p>
    <w:p>
      <w:pPr>
        <w:pStyle w:val="Normal"/>
        <w:ind w:hanging="720" w:start="1440" w:end="0"/>
        <w:jc w:val="both"/>
        <w:rPr>
          <w:color w:val="000000"/>
        </w:rPr>
      </w:pPr>
      <w:bookmarkStart w:id="319" w:name="_DV_M203"/>
      <w:bookmarkEnd w:id="319"/>
      <w:r>
        <w:rPr>
          <w:color w:val="000000"/>
        </w:rPr>
        <w:t>(vi)</w:t>
        <w:tab/>
        <w:t>The Insurance Advisor shall have confirmed that the insurance required to be maintained under Part B of Schedule 7.2.4(b) of the Common Agreement has been obtained and all premiums payable thereunder have been paid.</w:t>
      </w:r>
    </w:p>
    <w:p>
      <w:pPr>
        <w:pStyle w:val="BodyText"/>
        <w:spacing w:lineRule="exact" w:line="288" w:before="0" w:after="288"/>
        <w:rPr>
          <w:b/>
          <w:bCs/>
          <w:color w:val="000000"/>
        </w:rPr>
      </w:pPr>
      <w:bookmarkStart w:id="320" w:name="_DV_M204"/>
      <w:bookmarkEnd w:id="320"/>
      <w:r>
        <w:rPr>
          <w:color w:val="000000"/>
        </w:rPr>
        <w:t>Project Completion shall be conclusively presumed to have occurred for all purposes of the Financing Documents and the Completion Certificate as of the earlier of (i) the date the Completion Certificate is approved by the Independent Engineer and (ii) the date falling forty</w:t>
        <w:noBreakHyphen/>
        <w:t>five (45) days following the date of delivery of the Completion Certificate, if by such date the Independent Engineer has not approved the Completion Certificate and no Lender has notified the Borrowers in writing that such Lender, acting in good faith, believes that the conditions in clauses (b), (c), and (d) above to Project Completion have not been adequately demonstrated (which notice shall set forth in such detail as is reasonable under the circumstances the basis for such belief).  If a Lender gives a notification described in clause (ii) above, such Lender shall consult in good faith with the Borrowers as to the basis of such belief and any remedial steps the Borrowers, the Shareholders, or the Sponsors subsequently take to satisfy such condition.  The Lenders shall have the right to (a) require confirmation, at the Sponsors' expense, of any provision of the Completion Certificate, including by requesting delivery to the Lenders of an independent consultant's report or an opinion of counsel satisfactory to the Lenders and (b) make reasonable requests for additional information or documents from the Sponsors to substantiate the accuracy or completeness of the Completion Certificate.</w:t>
      </w:r>
    </w:p>
    <w:p>
      <w:pPr>
        <w:pStyle w:val="Heading2"/>
        <w:ind w:hanging="0" w:start="0"/>
        <w:rPr>
          <w:color w:val="000000"/>
          <w:lang w:val="fr-FR"/>
        </w:rPr>
      </w:pPr>
      <w:bookmarkStart w:id="321" w:name="__RefHeading___Toc490591559"/>
      <w:bookmarkStart w:id="322" w:name="_DV_M205"/>
      <w:bookmarkEnd w:id="321"/>
      <w:bookmarkEnd w:id="322"/>
      <w:r>
        <w:rPr>
          <w:color w:val="000000"/>
          <w:lang w:val="fr-FR"/>
        </w:rPr>
        <w:t>ARTICLE 3.  Obligations Absolute, Etc.</w:t>
      </w:r>
    </w:p>
    <w:p>
      <w:pPr>
        <w:pStyle w:val="Heading3"/>
        <w:ind w:hanging="0" w:start="0"/>
        <w:rPr>
          <w:color w:val="000000"/>
        </w:rPr>
      </w:pPr>
      <w:bookmarkStart w:id="323" w:name="__RefHeading___Toc490591560"/>
      <w:bookmarkStart w:id="324" w:name="_DV_M206"/>
      <w:bookmarkEnd w:id="323"/>
      <w:bookmarkEnd w:id="324"/>
      <w:r>
        <w:rPr>
          <w:color w:val="000000"/>
        </w:rPr>
        <w:t>3.1</w:t>
        <w:tab/>
        <w:t>Obligations of the Shareholders.</w:t>
      </w:r>
    </w:p>
    <w:p>
      <w:pPr>
        <w:pStyle w:val="BodyText"/>
        <w:rPr>
          <w:color w:val="000000"/>
        </w:rPr>
      </w:pPr>
      <w:bookmarkStart w:id="325" w:name="_DV_M207"/>
      <w:bookmarkEnd w:id="325"/>
      <w:r>
        <w:rPr>
          <w:color w:val="000000"/>
        </w:rPr>
        <w:t>Each Shareholder covenants and agrees that:</w:t>
      </w:r>
    </w:p>
    <w:p>
      <w:pPr>
        <w:pStyle w:val="a"/>
        <w:rPr>
          <w:color w:val="000000"/>
        </w:rPr>
      </w:pPr>
      <w:bookmarkStart w:id="326" w:name="_DV_M208"/>
      <w:bookmarkEnd w:id="326"/>
      <w:r>
        <w:rPr>
          <w:color w:val="000000"/>
        </w:rPr>
        <w:t>(a)</w:t>
        <w:tab/>
        <w:t>Such Shareholder is severally liable for its obligations to make Equity Contributions to its Related Company in accordance with the terms of this Agreement for the benefit of the Secured Parties and such obligations shall be enforceable by the Borrowers or the Common Agent on behalf of the Secured Parties and, in the case of the Common Agent on behalf of the Secured Parties, irrespective of the occurrence of an Event of Default under any of clauses (h), (i), or (j) of Section 9.1 of the Common Agreement with respect to any Related Company or the financial condition of any Related Company.</w:t>
      </w:r>
    </w:p>
    <w:p>
      <w:pPr>
        <w:pStyle w:val="Paragraph2"/>
        <w:widowControl/>
        <w:tabs>
          <w:tab w:val="clear" w:pos="1800"/>
          <w:tab w:val="clear" w:pos="1980"/>
          <w:tab w:val="clear" w:pos="2880"/>
          <w:tab w:val="clear" w:pos="3600"/>
          <w:tab w:val="clear" w:pos="4320"/>
          <w:tab w:val="clear" w:pos="5040"/>
          <w:tab w:val="clear" w:pos="5760"/>
          <w:tab w:val="clear" w:pos="6480"/>
          <w:tab w:val="clear" w:pos="7200"/>
          <w:tab w:val="clear" w:pos="7920"/>
          <w:tab w:val="clear" w:pos="9000"/>
          <w:tab w:val="clear" w:pos="9720"/>
          <w:tab w:val="left" w:pos="-1440" w:leader="none"/>
          <w:tab w:val="left" w:pos="-720" w:leader="none"/>
          <w:tab w:val="left" w:pos="0" w:leader="none"/>
        </w:tabs>
        <w:spacing w:lineRule="exact" w:line="288"/>
        <w:ind w:hanging="720" w:end="0"/>
        <w:jc w:val="both"/>
        <w:rPr>
          <w:rFonts w:ascii="Times New Roman" w:hAnsi="Times New Roman" w:cs="Times New Roman"/>
          <w:color w:val="000000"/>
        </w:rPr>
      </w:pPr>
      <w:bookmarkStart w:id="327" w:name="_DV_M209"/>
      <w:bookmarkEnd w:id="327"/>
      <w:r>
        <w:rPr>
          <w:rFonts w:cs="Times New Roman" w:ascii="Times New Roman" w:hAnsi="Times New Roman"/>
          <w:color w:val="000000"/>
        </w:rPr>
        <w:t xml:space="preserve">(b) </w:t>
        <w:tab/>
        <w:t>Each Shareholder’s obligation to make Equity Contributions to any Related Companies in accordance with the terms of this Agreement is and shall be absolute and unconditional and is not, and shall not be, subject to any defense or right of set</w:t>
        <w:noBreakHyphen/>
        <w:t>off, counterclaim, deduction, diminution, abatement, recoupment, defense, suspension, deferment, or reduction or any other legal or equitable defense that such Shareholder has or hereafter may have, against any other Person (including the Secured Parties) for any reason whatsoever (including, without limitation, any circumstance which constitutes, or might be construed to constitute, equitable or legal discharge of any or all of the Related Companies' obligations under the Financing Documents, in bankruptcy or otherwise).</w:t>
      </w:r>
    </w:p>
    <w:p>
      <w:pPr>
        <w:pStyle w:val="a"/>
        <w:rPr>
          <w:color w:val="000000"/>
        </w:rPr>
      </w:pPr>
      <w:bookmarkStart w:id="328" w:name="_DV_M210"/>
      <w:bookmarkEnd w:id="328"/>
      <w:r>
        <w:rPr>
          <w:color w:val="000000"/>
        </w:rPr>
        <w:t>(c)</w:t>
        <w:tab/>
        <w:t>Each Shareholder’s obligations hereunder shall be absolute and unconditional irrespective of:</w:t>
      </w:r>
    </w:p>
    <w:p>
      <w:pPr>
        <w:pStyle w:val="i"/>
        <w:tabs>
          <w:tab w:val="clear" w:pos="1296"/>
        </w:tabs>
        <w:ind w:hanging="720" w:end="0"/>
        <w:rPr>
          <w:color w:val="000000"/>
        </w:rPr>
      </w:pPr>
      <w:bookmarkStart w:id="329" w:name="_DV_M211"/>
      <w:bookmarkEnd w:id="329"/>
      <w:r>
        <w:rPr>
          <w:color w:val="000000"/>
        </w:rPr>
        <w:t>(i)</w:t>
        <w:tab/>
        <w:t>any lack of validity, enforceability, or value of any Operative Document, or any other agreement or instrument relating thereto or to any Collateral therefor;</w:t>
      </w:r>
    </w:p>
    <w:p>
      <w:pPr>
        <w:pStyle w:val="i"/>
        <w:tabs>
          <w:tab w:val="clear" w:pos="1296"/>
        </w:tabs>
        <w:ind w:hanging="720" w:end="0"/>
        <w:rPr>
          <w:color w:val="000000"/>
        </w:rPr>
      </w:pPr>
      <w:bookmarkStart w:id="330" w:name="_DV_M212"/>
      <w:bookmarkEnd w:id="330"/>
      <w:r>
        <w:rPr>
          <w:color w:val="000000"/>
        </w:rPr>
        <w:t>(ii)</w:t>
        <w:tab/>
        <w:t>any change in the time, manner or place of payment of, or in any other term of, the Common Agreement, any Loan Agreement, or any other Financing Document, or any amendment or waiver thereof, or any consent to departure from any of the foregoing agreements;</w:t>
      </w:r>
    </w:p>
    <w:p>
      <w:pPr>
        <w:pStyle w:val="i"/>
        <w:tabs>
          <w:tab w:val="clear" w:pos="1296"/>
        </w:tabs>
        <w:ind w:hanging="720" w:end="0"/>
        <w:rPr>
          <w:color w:val="000000"/>
        </w:rPr>
      </w:pPr>
      <w:bookmarkStart w:id="331" w:name="_DV_M213"/>
      <w:bookmarkEnd w:id="331"/>
      <w:r>
        <w:rPr>
          <w:color w:val="000000"/>
        </w:rPr>
        <w:t>(iii)</w:t>
        <w:tab/>
        <w:t>any taking, exchange, release, or non</w:t>
        <w:noBreakHyphen/>
        <w:t>perfection of any Collateral, or any release or amendment or waiver of or consent to departure from any credit support or guaranty for any Loan Agreement or any other Financing Document;</w:t>
      </w:r>
    </w:p>
    <w:p>
      <w:pPr>
        <w:pStyle w:val="i"/>
        <w:tabs>
          <w:tab w:val="clear" w:pos="1296"/>
        </w:tabs>
        <w:ind w:hanging="720" w:end="0"/>
        <w:rPr>
          <w:color w:val="000000"/>
        </w:rPr>
      </w:pPr>
      <w:bookmarkStart w:id="332" w:name="_DV_M214"/>
      <w:bookmarkEnd w:id="332"/>
      <w:r>
        <w:rPr>
          <w:color w:val="000000"/>
        </w:rPr>
        <w:t>(iv)</w:t>
        <w:tab/>
        <w:t>any manner of application of any Collateral, or proceeds thereof, or any manner of sale or other disposition of any Collateral or any other assets of the Borrowers;</w:t>
      </w:r>
    </w:p>
    <w:p>
      <w:pPr>
        <w:pStyle w:val="i"/>
        <w:tabs>
          <w:tab w:val="clear" w:pos="1296"/>
        </w:tabs>
        <w:ind w:hanging="720" w:end="0"/>
        <w:rPr>
          <w:color w:val="000000"/>
        </w:rPr>
      </w:pPr>
      <w:bookmarkStart w:id="333" w:name="_DV_M215"/>
      <w:bookmarkEnd w:id="333"/>
      <w:r>
        <w:rPr>
          <w:color w:val="000000"/>
        </w:rPr>
        <w:t>(v)</w:t>
        <w:tab/>
        <w:t xml:space="preserve">any failure to pay any taxes which may be payable with respect to the performance of its obligations hereunder by such Shareholder or failure to obtain any authorization or approval from or other action by, or to notify or file with, any Governmental Authority or regulatory body required in connection with the performance of such obligations by such Shareholder;  </w:t>
      </w:r>
    </w:p>
    <w:p>
      <w:pPr>
        <w:pStyle w:val="Paragraph2"/>
        <w:widowControl/>
        <w:tabs>
          <w:tab w:val="clear" w:pos="1800"/>
          <w:tab w:val="clear" w:pos="1980"/>
          <w:tab w:val="clear" w:pos="2880"/>
          <w:tab w:val="clear" w:pos="3600"/>
          <w:tab w:val="clear" w:pos="4320"/>
          <w:tab w:val="clear" w:pos="5040"/>
          <w:tab w:val="clear" w:pos="5760"/>
          <w:tab w:val="clear" w:pos="6480"/>
          <w:tab w:val="clear" w:pos="7200"/>
          <w:tab w:val="clear" w:pos="7920"/>
          <w:tab w:val="clear" w:pos="9000"/>
          <w:tab w:val="clear" w:pos="9720"/>
          <w:tab w:val="left" w:pos="-1440" w:leader="none"/>
          <w:tab w:val="left" w:pos="-720" w:leader="none"/>
          <w:tab w:val="left" w:pos="0" w:leader="none"/>
        </w:tabs>
        <w:spacing w:lineRule="exact" w:line="288"/>
        <w:ind w:hanging="720" w:start="1440" w:end="0"/>
        <w:jc w:val="both"/>
        <w:rPr>
          <w:rFonts w:ascii="Times New Roman" w:hAnsi="Times New Roman" w:cs="Times New Roman"/>
          <w:color w:val="000000"/>
        </w:rPr>
      </w:pPr>
      <w:bookmarkStart w:id="334" w:name="_DV_M216"/>
      <w:bookmarkEnd w:id="334"/>
      <w:r>
        <w:rPr>
          <w:rFonts w:cs="Times New Roman" w:ascii="Times New Roman" w:hAnsi="Times New Roman"/>
          <w:color w:val="000000"/>
        </w:rPr>
        <w:t xml:space="preserve">(vi) </w:t>
        <w:tab/>
        <w:t>the failure of any Borrower to pay a fee or provide other consideration to any  Shareholder in consideration of its entering into this Agreement;</w:t>
      </w:r>
    </w:p>
    <w:p>
      <w:pPr>
        <w:pStyle w:val="Paragraph2"/>
        <w:widowControl/>
        <w:tabs>
          <w:tab w:val="clear" w:pos="1800"/>
          <w:tab w:val="clear" w:pos="1980"/>
          <w:tab w:val="clear" w:pos="2880"/>
          <w:tab w:val="clear" w:pos="3600"/>
          <w:tab w:val="clear" w:pos="4320"/>
          <w:tab w:val="clear" w:pos="5040"/>
          <w:tab w:val="clear" w:pos="5760"/>
          <w:tab w:val="clear" w:pos="6480"/>
          <w:tab w:val="clear" w:pos="7200"/>
          <w:tab w:val="clear" w:pos="7920"/>
          <w:tab w:val="clear" w:pos="9000"/>
          <w:tab w:val="clear" w:pos="9720"/>
          <w:tab w:val="left" w:pos="-1440" w:leader="none"/>
          <w:tab w:val="left" w:pos="-720" w:leader="none"/>
          <w:tab w:val="left" w:pos="0" w:leader="none"/>
        </w:tabs>
        <w:spacing w:lineRule="exact" w:line="288"/>
        <w:ind w:hanging="720" w:start="1440" w:end="0"/>
        <w:jc w:val="both"/>
        <w:rPr>
          <w:rFonts w:ascii="Times New Roman" w:hAnsi="Times New Roman" w:cs="Times New Roman"/>
          <w:color w:val="000000"/>
        </w:rPr>
      </w:pPr>
      <w:bookmarkStart w:id="335" w:name="_DV_M217"/>
      <w:bookmarkEnd w:id="335"/>
      <w:r>
        <w:rPr>
          <w:rFonts w:cs="Times New Roman" w:ascii="Times New Roman" w:hAnsi="Times New Roman"/>
          <w:color w:val="000000"/>
        </w:rPr>
        <w:t>(vii)</w:t>
        <w:tab/>
        <w:t>the occurrence or continuance of any default under or in respect of any Indebtedness of  any Borrower or any acceleration or required prepayment of any Indebtedness of such Borrower as a result thereof or otherwise;</w:t>
      </w:r>
    </w:p>
    <w:p>
      <w:pPr>
        <w:pStyle w:val="Paragraph2"/>
        <w:widowControl/>
        <w:tabs>
          <w:tab w:val="clear" w:pos="1800"/>
          <w:tab w:val="clear" w:pos="1980"/>
          <w:tab w:val="clear" w:pos="2880"/>
          <w:tab w:val="clear" w:pos="3600"/>
          <w:tab w:val="clear" w:pos="4320"/>
          <w:tab w:val="clear" w:pos="5040"/>
          <w:tab w:val="clear" w:pos="5760"/>
          <w:tab w:val="clear" w:pos="6480"/>
          <w:tab w:val="clear" w:pos="7200"/>
          <w:tab w:val="clear" w:pos="7920"/>
          <w:tab w:val="clear" w:pos="9000"/>
          <w:tab w:val="clear" w:pos="9720"/>
          <w:tab w:val="left" w:pos="-1440" w:leader="none"/>
          <w:tab w:val="left" w:pos="-720" w:leader="none"/>
          <w:tab w:val="left" w:pos="0" w:leader="none"/>
        </w:tabs>
        <w:spacing w:lineRule="exact" w:line="288"/>
        <w:ind w:hanging="720" w:start="1440" w:end="0"/>
        <w:jc w:val="both"/>
        <w:rPr>
          <w:rFonts w:ascii="Times New Roman" w:hAnsi="Times New Roman" w:cs="Times New Roman"/>
          <w:color w:val="000000"/>
        </w:rPr>
      </w:pPr>
      <w:bookmarkStart w:id="336" w:name="_DV_M218"/>
      <w:bookmarkEnd w:id="336"/>
      <w:r>
        <w:rPr>
          <w:rFonts w:cs="Times New Roman" w:ascii="Times New Roman" w:hAnsi="Times New Roman"/>
          <w:color w:val="000000"/>
        </w:rPr>
        <w:t>(viii)</w:t>
        <w:tab/>
        <w:t>the voluntary or involuntary liquidation, sale, or other disposition of all or any portion of the assets of any Related Party, or the receivership, insolvency, bankruptcy, reorganization, or similar proceedings affecting any Related Party or its assets, or the release, or discharge of any Related Party from any of its obligations under any Financing Document, or the consolidation or merger of any Related Party;</w:t>
      </w:r>
    </w:p>
    <w:p>
      <w:pPr>
        <w:pStyle w:val="Paragraph2"/>
        <w:widowControl/>
        <w:tabs>
          <w:tab w:val="clear" w:pos="1800"/>
          <w:tab w:val="clear" w:pos="1980"/>
          <w:tab w:val="clear" w:pos="2880"/>
          <w:tab w:val="clear" w:pos="3600"/>
          <w:tab w:val="clear" w:pos="4320"/>
          <w:tab w:val="clear" w:pos="5040"/>
          <w:tab w:val="clear" w:pos="5760"/>
          <w:tab w:val="clear" w:pos="6480"/>
          <w:tab w:val="clear" w:pos="7200"/>
          <w:tab w:val="clear" w:pos="7920"/>
          <w:tab w:val="clear" w:pos="9000"/>
          <w:tab w:val="clear" w:pos="9720"/>
          <w:tab w:val="left" w:pos="-1440" w:leader="none"/>
          <w:tab w:val="left" w:pos="-720" w:leader="none"/>
          <w:tab w:val="left" w:pos="0" w:leader="none"/>
        </w:tabs>
        <w:spacing w:lineRule="exact" w:line="288"/>
        <w:ind w:hanging="720" w:start="1440" w:end="0"/>
        <w:jc w:val="both"/>
        <w:rPr>
          <w:rFonts w:ascii="Times New Roman" w:hAnsi="Times New Roman" w:cs="Times New Roman"/>
          <w:color w:val="000000"/>
        </w:rPr>
      </w:pPr>
      <w:bookmarkStart w:id="337" w:name="_DV_M219"/>
      <w:bookmarkEnd w:id="337"/>
      <w:r>
        <w:rPr>
          <w:rFonts w:cs="Times New Roman" w:ascii="Times New Roman" w:hAnsi="Times New Roman"/>
          <w:color w:val="000000"/>
        </w:rPr>
        <w:t>(ix)</w:t>
        <w:tab/>
        <w:t>the recovery of any judgment against any Related Party or any action to enforce the same, the insolvency or bankruptcy of any Related Party, or the inability for any reason of any Related Party to perform its obligations under any Financing Document to which it is a party;</w:t>
      </w:r>
    </w:p>
    <w:p>
      <w:pPr>
        <w:pStyle w:val="Paragraph2"/>
        <w:widowControl/>
        <w:tabs>
          <w:tab w:val="clear" w:pos="1800"/>
          <w:tab w:val="clear" w:pos="1980"/>
          <w:tab w:val="clear" w:pos="2880"/>
          <w:tab w:val="clear" w:pos="3600"/>
          <w:tab w:val="clear" w:pos="4320"/>
          <w:tab w:val="clear" w:pos="5040"/>
          <w:tab w:val="clear" w:pos="5760"/>
          <w:tab w:val="clear" w:pos="6480"/>
          <w:tab w:val="clear" w:pos="7200"/>
          <w:tab w:val="clear" w:pos="7920"/>
          <w:tab w:val="clear" w:pos="9000"/>
          <w:tab w:val="clear" w:pos="9720"/>
          <w:tab w:val="left" w:pos="-1440" w:leader="none"/>
          <w:tab w:val="left" w:pos="-720" w:leader="none"/>
          <w:tab w:val="left" w:pos="0" w:leader="none"/>
        </w:tabs>
        <w:spacing w:lineRule="exact" w:line="288"/>
        <w:ind w:hanging="720" w:start="1440" w:end="0"/>
        <w:jc w:val="both"/>
        <w:rPr>
          <w:rFonts w:ascii="Times New Roman" w:hAnsi="Times New Roman" w:cs="Times New Roman"/>
          <w:color w:val="000000"/>
        </w:rPr>
      </w:pPr>
      <w:bookmarkStart w:id="338" w:name="_DV_M220"/>
      <w:bookmarkEnd w:id="338"/>
      <w:r>
        <w:rPr>
          <w:rFonts w:cs="Times New Roman" w:ascii="Times New Roman" w:hAnsi="Times New Roman"/>
          <w:color w:val="000000"/>
        </w:rPr>
        <w:t xml:space="preserve">(x) </w:t>
        <w:tab/>
        <w:t xml:space="preserve">any change in the scope of the Project or in the economic viability of the Project; </w:t>
      </w:r>
    </w:p>
    <w:p>
      <w:pPr>
        <w:pStyle w:val="i"/>
        <w:tabs>
          <w:tab w:val="clear" w:pos="1296"/>
        </w:tabs>
        <w:ind w:hanging="720" w:end="0"/>
        <w:rPr/>
      </w:pPr>
      <w:bookmarkStart w:id="339" w:name="_DV_M221"/>
      <w:bookmarkEnd w:id="339"/>
      <w:r>
        <w:rPr>
          <w:color w:val="000000"/>
        </w:rPr>
        <w:t>(xi)</w:t>
        <w:tab/>
        <w:t xml:space="preserve">any impossibility or impracticality of performance, </w:t>
      </w:r>
      <w:r>
        <w:rPr>
          <w:i/>
          <w:iCs/>
          <w:color w:val="000000"/>
        </w:rPr>
        <w:t>force</w:t>
      </w:r>
      <w:r>
        <w:rPr>
          <w:color w:val="000000"/>
        </w:rPr>
        <w:t xml:space="preserve"> </w:t>
      </w:r>
      <w:r>
        <w:rPr>
          <w:i/>
          <w:iCs/>
          <w:color w:val="000000"/>
        </w:rPr>
        <w:t>majeure</w:t>
      </w:r>
      <w:r>
        <w:rPr>
          <w:color w:val="000000"/>
        </w:rPr>
        <w:t>, any act of any government, or other circumstance which might constitute a defense available to, or a discharge of, such Shareholder, or a surety, or any other circumstance, event or happening whatsoever, whether foreseen or unforeseen and whether similar or dissimilar to anything referred to above in this Section 3.1; or</w:t>
      </w:r>
    </w:p>
    <w:p>
      <w:pPr>
        <w:pStyle w:val="i"/>
        <w:tabs>
          <w:tab w:val="clear" w:pos="1296"/>
        </w:tabs>
        <w:ind w:hanging="720" w:end="0"/>
        <w:rPr>
          <w:color w:val="000000"/>
        </w:rPr>
      </w:pPr>
      <w:bookmarkStart w:id="340" w:name="_DV_M222"/>
      <w:bookmarkEnd w:id="340"/>
      <w:r>
        <w:rPr>
          <w:color w:val="000000"/>
        </w:rPr>
        <w:t xml:space="preserve">(xii) </w:t>
        <w:tab/>
        <w:t>the release of another Shareholder from all or part of its obligations hereunder pursuant to a Permitted Transfer.</w:t>
      </w:r>
    </w:p>
    <w:p>
      <w:pPr>
        <w:pStyle w:val="a"/>
        <w:rPr>
          <w:color w:val="000000"/>
        </w:rPr>
      </w:pPr>
      <w:bookmarkStart w:id="341" w:name="_DV_M223"/>
      <w:bookmarkEnd w:id="341"/>
      <w:r>
        <w:rPr>
          <w:color w:val="000000"/>
        </w:rPr>
        <w:t>(d)</w:t>
        <w:tab/>
        <w:t>Except as set forth in Section 10.2, no Shareholder shall have any right to terminate this Agreement or to be released, relieved, or discharged from its obligation hereunder for any reason whatsoever, other than by its full and strict compliance with the terms hereof.</w:t>
      </w:r>
    </w:p>
    <w:p>
      <w:pPr>
        <w:pStyle w:val="a"/>
        <w:rPr>
          <w:color w:val="000000"/>
        </w:rPr>
      </w:pPr>
      <w:bookmarkStart w:id="342" w:name="_DV_M224"/>
      <w:bookmarkEnd w:id="342"/>
      <w:r>
        <w:rPr>
          <w:color w:val="000000"/>
        </w:rPr>
        <w:t>(e)</w:t>
        <w:tab/>
        <w:t>To the extent permitted by Applicable Law, the obligations of each Shareholder hereunder will be performed regardless of any law, regulation, or order now or hereafter in effect in any jurisdiction affecting any of the terms of any Loan Agreement, or any other Financing Document, or any other document related thereto or the rights of any Person with respect thereto.</w:t>
      </w:r>
    </w:p>
    <w:p>
      <w:pPr>
        <w:pStyle w:val="a"/>
        <w:rPr>
          <w:color w:val="000000"/>
        </w:rPr>
      </w:pPr>
      <w:bookmarkStart w:id="343" w:name="_DV_M225"/>
      <w:bookmarkEnd w:id="343"/>
      <w:r>
        <w:rPr>
          <w:color w:val="000000"/>
        </w:rPr>
        <w:t>(f)</w:t>
        <w:tab/>
        <w:t xml:space="preserve">If for any reason whatsoever (including, without limitation, the liquidation of any Related Company or failure of any Related Company to issue equity interests or to accept payment therefor), any Shareholder cannot make an Equity Contribution required hereunder, such Shareholders shall pay to the Common Agent (without duplication of any amounts otherwise already paid to the Related Company by or on behalf of such Shareholder) for deposit and application in accordance with the terms of the Disbursement Agreement, the amount that it would otherwise be obligated to pay by way of such Equity Contribution, which shall be deemed to discharge its obligations hereunder. Issuance by a Borrower of equity interests in exchange for such payments shall not be a condition to the making of such payments (notwithstanding any right of such Shareholder to receive equity interests in exchange therefor, which rights shall not be deemed waived by this Section 3.1(f)). </w:t>
      </w:r>
    </w:p>
    <w:p>
      <w:pPr>
        <w:pStyle w:val="Normal"/>
        <w:spacing w:lineRule="exact" w:line="288" w:before="0" w:after="288"/>
        <w:ind w:hanging="720" w:start="720" w:end="0"/>
        <w:jc w:val="both"/>
        <w:rPr/>
      </w:pPr>
      <w:bookmarkStart w:id="344" w:name="_DV_M226"/>
      <w:bookmarkEnd w:id="344"/>
      <w:r>
        <w:rPr>
          <w:color w:val="000000"/>
        </w:rPr>
        <w:t>(g)</w:t>
        <w:tab/>
        <w:t>Without limitation of the foregoing, each Shareholder hereby irrevocably waives, to the extent it may do so under Applicable Law, any protection it may be entitled to under Sections 365(c)(1) and 365(c)(2) of the Bankruptcy Reform Act of 1978, as amended or any successor provision of law of similar import or any provision of Applicable Law of similar import (</w:t>
      </w:r>
      <w:r>
        <w:rPr>
          <w:i/>
          <w:iCs/>
          <w:color w:val="000000"/>
        </w:rPr>
        <w:t>Bankruptcy Laws</w:t>
      </w:r>
      <w:r>
        <w:rPr>
          <w:color w:val="000000"/>
        </w:rPr>
        <w:t xml:space="preserve">) in the event of any voluntary or involuntary bankruptcy, insolvency, reorganization, liquidation, or arrangement proceeding, or similar proceeding or case with respect to any Borrower (a </w:t>
      </w:r>
      <w:r>
        <w:rPr>
          <w:i/>
          <w:iCs/>
          <w:color w:val="000000"/>
        </w:rPr>
        <w:t>Bankruptcy).</w:t>
      </w:r>
      <w:r>
        <w:rPr>
          <w:color w:val="000000"/>
        </w:rPr>
        <w:t xml:space="preserve">  Specifically, in the event that the trustee in bankruptcy,  administrator, receiver, liquidator, the debtor</w:t>
        <w:noBreakHyphen/>
        <w:t>in</w:t>
        <w:noBreakHyphen/>
        <w:t xml:space="preserve">possession, or similar party takes any action (including without limitation, the institution of any action, suit, or other proceeding in a Bankruptcy for the purpose of enforcing the obligations of any Borrower under this Agreement), no Shareholder shall assert any defense claim or counterclaim denying liability hereunder on the basis that this Agreement is an executory contract that cannot be assumed, assigned or enforced or on any other theory directly or indirectly based on Bankruptcy Laws.  If a Bankruptcy shall occur, each Shareholder agrees, after the occurrence of the Bankruptcy, to reconfirm in writing, to the extent permitted by Applicable Law, its pre-Bankruptcy waiver of any protection it may be entitled to under Bankruptcy Laws and, to give effect to such waiver, such Shareholder consents to the assumption and enforcement and each provision of this Agreement (except to the extent that the obligation of such Shareholder in such provision has already been performed) by the debtor-in-possession or the relevant Borrower’s trustee in bankruptcy, administrator, receiver, liquidator, or similar party, as the case may be. </w:t>
      </w:r>
    </w:p>
    <w:p>
      <w:pPr>
        <w:pStyle w:val="a"/>
        <w:spacing w:lineRule="exact" w:line="288" w:before="0" w:after="288"/>
        <w:rPr>
          <w:color w:val="000000"/>
        </w:rPr>
      </w:pPr>
      <w:bookmarkStart w:id="345" w:name="_DV_M227"/>
      <w:bookmarkEnd w:id="345"/>
      <w:r>
        <w:rPr>
          <w:color w:val="000000"/>
        </w:rPr>
        <w:t>(h)</w:t>
        <w:tab/>
        <w:t>Each Shareholder hereby unconditionally, to the extent that it may do so under Applicable Law, waives presentment, demand, diligence, filing of claims with a court in the event of insolvency or bankruptcy of any Borrower, and any right to require a proceeding first against any Borrower, any other Related Party, or any Collateral, and waives protest, notice (including notice of default of any Borrower), and all demands whatsoever of any kind to which such Shareholder might otherwise be entitled under Applicable Law with respect to the Equity Contributions required to be made hereunder.  Each Shareholder acknowledges the substantial direct and indirect benefits from the financing arrangements contemplated by the Financing Documents  and the waivers set forth herein are knowingly made in contemplation of such benefits.</w:t>
      </w:r>
    </w:p>
    <w:p>
      <w:pPr>
        <w:pStyle w:val="Heading2"/>
        <w:ind w:hanging="0" w:start="0"/>
        <w:rPr>
          <w:color w:val="000000"/>
        </w:rPr>
      </w:pPr>
      <w:bookmarkStart w:id="346" w:name="__RefHeading___Toc490591561"/>
      <w:bookmarkStart w:id="347" w:name="_DV_M228"/>
      <w:bookmarkEnd w:id="346"/>
      <w:bookmarkEnd w:id="347"/>
      <w:r>
        <w:rPr>
          <w:color w:val="000000"/>
        </w:rPr>
        <w:t>ARTICLE 4.  The Guarantee</w:t>
      </w:r>
    </w:p>
    <w:p>
      <w:pPr>
        <w:pStyle w:val="Heading3"/>
        <w:ind w:hanging="0" w:start="0"/>
        <w:rPr>
          <w:color w:val="000000"/>
        </w:rPr>
      </w:pPr>
      <w:bookmarkStart w:id="348" w:name="__RefHeading___Toc490591562"/>
      <w:bookmarkStart w:id="349" w:name="_DV_M229"/>
      <w:bookmarkEnd w:id="348"/>
      <w:bookmarkEnd w:id="349"/>
      <w:r>
        <w:rPr>
          <w:color w:val="000000"/>
        </w:rPr>
        <w:t>4.1</w:t>
        <w:tab/>
        <w:t>Guarantee.</w:t>
      </w:r>
    </w:p>
    <w:p>
      <w:pPr>
        <w:pStyle w:val="BodyText"/>
        <w:rPr/>
      </w:pPr>
      <w:bookmarkStart w:id="350" w:name="_DV_M230"/>
      <w:bookmarkEnd w:id="350"/>
      <w:r>
        <w:rPr>
          <w:color w:val="000000"/>
        </w:rPr>
        <w:t xml:space="preserve">Each Sponsor hereby severally guarantees to the Secured Parties and their respective successors and assigns the prompt payment in full when due of the Equity Contributions to be made by each Related Shareholder of such Sponsor under Section 2.1 of this Agreement without any demand or notice whatsoever (other than the notice provision of Section 4.9) strictly in accordance with the terms hereof (with respect to any Sponsor, the obligations by its Related Shareholder to make such payment being herein called the </w:t>
      </w:r>
      <w:r>
        <w:rPr>
          <w:b/>
          <w:bCs/>
          <w:i/>
          <w:iCs/>
          <w:color w:val="000000"/>
        </w:rPr>
        <w:t xml:space="preserve">Guaranteed Obligations </w:t>
      </w:r>
      <w:r>
        <w:rPr>
          <w:color w:val="000000"/>
        </w:rPr>
        <w:t>of such Sponsor);</w:t>
      </w:r>
      <w:r>
        <w:rPr>
          <w:b/>
          <w:bCs/>
          <w:i/>
          <w:iCs/>
          <w:color w:val="000000"/>
        </w:rPr>
        <w:t xml:space="preserve"> provided</w:t>
      </w:r>
      <w:r>
        <w:rPr>
          <w:color w:val="000000"/>
        </w:rPr>
        <w:t xml:space="preserve"> that the aggregate amount of each Sponsor's obligations under this Article 4 (other than under Section 4.3) shall not exceed such Sponsor's Guarantee Amount.</w:t>
      </w:r>
    </w:p>
    <w:p>
      <w:pPr>
        <w:pStyle w:val="Heading3"/>
        <w:ind w:hanging="0" w:start="0"/>
        <w:rPr>
          <w:color w:val="000000"/>
        </w:rPr>
      </w:pPr>
      <w:bookmarkStart w:id="351" w:name="__RefHeading___Toc490591563"/>
      <w:bookmarkStart w:id="352" w:name="_DV_M231"/>
      <w:bookmarkEnd w:id="352"/>
      <w:r>
        <w:rPr>
          <w:color w:val="000000"/>
        </w:rPr>
        <w:t>4.2</w:t>
        <w:tab/>
        <w:t>Obligations Absolute and Unconditional.</w:t>
      </w:r>
      <w:bookmarkStart w:id="353" w:name="_DV_M232"/>
      <w:bookmarkEnd w:id="351"/>
      <w:bookmarkEnd w:id="353"/>
      <w:r>
        <w:rPr>
          <w:color w:val="000000"/>
        </w:rPr>
        <w:t xml:space="preserve"> </w:t>
      </w:r>
    </w:p>
    <w:p>
      <w:pPr>
        <w:pStyle w:val="a"/>
        <w:ind w:hanging="0" w:start="0" w:end="0"/>
        <w:rPr>
          <w:color w:val="000000"/>
        </w:rPr>
      </w:pPr>
      <w:bookmarkStart w:id="354" w:name="_DV_M233"/>
      <w:bookmarkEnd w:id="354"/>
      <w:r>
        <w:rPr>
          <w:color w:val="000000"/>
        </w:rPr>
        <w:t>The obligations of the Sponsors under this Agreement are absolute and unconditional, irrespective of the value, genuineness, validity, regularity, or enforceability of the obligations of the Shareholders under this Agreement or any other agreement or instrument referred to herein, and, to the fullest extent permitted by Applicable Law, irrespective of any other circumstance whatsoever that might otherwise constitute a legal or equitable discharge or defense of a surety or guarantor, it being the intent of this Section 4.2 that the obligation of the Sponsors hereunder shall be absolute and unconditional under any and all circumstances.  Without limiting the generality of the foregoing, it is agreed that despite the occurrence or non-occurrence of any one or more of the following, the liability of each Sponsor hereunder shall remain absolute and unconditional as described above:</w:t>
      </w:r>
    </w:p>
    <w:p>
      <w:pPr>
        <w:pStyle w:val="i"/>
        <w:tabs>
          <w:tab w:val="clear" w:pos="1296"/>
        </w:tabs>
        <w:ind w:hanging="1080" w:start="1080" w:end="0"/>
        <w:rPr>
          <w:color w:val="000000"/>
        </w:rPr>
      </w:pPr>
      <w:bookmarkStart w:id="355" w:name="_DV_M234"/>
      <w:bookmarkEnd w:id="355"/>
      <w:r>
        <w:rPr>
          <w:color w:val="000000"/>
        </w:rPr>
        <w:t>(a)</w:t>
        <w:tab/>
        <w:t>at any time or from time to time, without notice to the Sponsors, the time for any performance of or compliance with the Guaranteed Obligations shall be extended, or such performance or compliance shall be waived;</w:t>
      </w:r>
    </w:p>
    <w:p>
      <w:pPr>
        <w:pStyle w:val="i"/>
        <w:tabs>
          <w:tab w:val="clear" w:pos="1296"/>
        </w:tabs>
        <w:ind w:hanging="1080" w:start="1080" w:end="0"/>
        <w:rPr>
          <w:color w:val="000000"/>
        </w:rPr>
      </w:pPr>
      <w:bookmarkStart w:id="356" w:name="_DV_M235"/>
      <w:bookmarkEnd w:id="356"/>
      <w:r>
        <w:rPr>
          <w:color w:val="000000"/>
        </w:rPr>
        <w:t>(b)</w:t>
        <w:tab/>
        <w:t>any of the acts mentioned in any of the provisions of this Agreement (other than Section 4.9) or any other agreement or instrument referred to herein shall be done or omitted;</w:t>
      </w:r>
    </w:p>
    <w:p>
      <w:pPr>
        <w:pStyle w:val="i"/>
        <w:tabs>
          <w:tab w:val="clear" w:pos="1296"/>
        </w:tabs>
        <w:ind w:hanging="1080" w:start="1080" w:end="0"/>
        <w:rPr>
          <w:color w:val="000000"/>
        </w:rPr>
      </w:pPr>
      <w:bookmarkStart w:id="357" w:name="_DV_M236"/>
      <w:bookmarkEnd w:id="357"/>
      <w:r>
        <w:rPr>
          <w:color w:val="000000"/>
        </w:rPr>
        <w:t>(c)</w:t>
        <w:tab/>
        <w:t>the Guaranteed Obligations shall be modified, supplemented, or amended in any respect, or any right under this Agreement or any other agreement or instrument referred to herein shall be waived or any security for the Guaranteed Obligations shall be released or exchanged in whole or in part or otherwise dealt with;</w:t>
      </w:r>
    </w:p>
    <w:p>
      <w:pPr>
        <w:pStyle w:val="i"/>
        <w:tabs>
          <w:tab w:val="clear" w:pos="1296"/>
        </w:tabs>
        <w:ind w:hanging="1080" w:start="1080" w:end="0"/>
        <w:rPr>
          <w:color w:val="000000"/>
        </w:rPr>
      </w:pPr>
      <w:bookmarkStart w:id="358" w:name="_DV_M237"/>
      <w:bookmarkEnd w:id="358"/>
      <w:r>
        <w:rPr>
          <w:color w:val="000000"/>
        </w:rPr>
        <w:t>(d)</w:t>
        <w:tab/>
        <w:t>any Lien or security interest granted to, or in favor of, the Common Agent or any Secured Parties as security for the Guaranteed Obligations shall fail to be perfected;</w:t>
      </w:r>
    </w:p>
    <w:p>
      <w:pPr>
        <w:pStyle w:val="i"/>
        <w:tabs>
          <w:tab w:val="clear" w:pos="1296"/>
        </w:tabs>
        <w:ind w:hanging="1080" w:start="1080" w:end="0"/>
        <w:rPr/>
      </w:pPr>
      <w:bookmarkStart w:id="359" w:name="_DV_M238"/>
      <w:bookmarkEnd w:id="359"/>
      <w:r>
        <w:rPr>
          <w:color w:val="000000"/>
        </w:rPr>
        <w:t xml:space="preserve">(e)  </w:t>
        <w:tab/>
        <w:t xml:space="preserve">the bankruptcy, dissolution, liquidation, or winding up of any Borrower, any  Shareholder, or any other Related Party or any inability or restriction on any Borrower to create, issue, or allot its </w:t>
      </w:r>
      <w:r>
        <w:rPr>
          <w:i/>
          <w:iCs/>
          <w:color w:val="000000"/>
        </w:rPr>
        <w:t>cuotas or quotas</w:t>
      </w:r>
      <w:r>
        <w:rPr>
          <w:color w:val="000000"/>
        </w:rPr>
        <w:t xml:space="preserve"> in connection with any Equity Contribution as a result of a failure of any Person to obtain or maintain any required approvals or otherwise;</w:t>
      </w:r>
    </w:p>
    <w:p>
      <w:pPr>
        <w:pStyle w:val="i"/>
        <w:tabs>
          <w:tab w:val="clear" w:pos="1296"/>
        </w:tabs>
        <w:ind w:hanging="1080" w:start="1080" w:end="0"/>
        <w:rPr>
          <w:color w:val="000000"/>
        </w:rPr>
      </w:pPr>
      <w:bookmarkStart w:id="360" w:name="_DV_M239"/>
      <w:bookmarkEnd w:id="360"/>
      <w:r>
        <w:rPr>
          <w:color w:val="000000"/>
        </w:rPr>
        <w:t xml:space="preserve">(f) </w:t>
        <w:tab/>
        <w:t>the existence of any condition that adversely affects the value of the Project or the interests of the Shareholders in the respective Borrowers, or the ability of any Borrower to use the Project for the purposes contemplated by the Operative Documents;</w:t>
      </w:r>
    </w:p>
    <w:p>
      <w:pPr>
        <w:pStyle w:val="i"/>
        <w:tabs>
          <w:tab w:val="clear" w:pos="1296"/>
        </w:tabs>
        <w:ind w:hanging="1080" w:start="1080" w:end="0"/>
        <w:rPr>
          <w:color w:val="000000"/>
        </w:rPr>
      </w:pPr>
      <w:bookmarkStart w:id="361" w:name="_DV_M240"/>
      <w:bookmarkEnd w:id="361"/>
      <w:r>
        <w:rPr>
          <w:color w:val="000000"/>
        </w:rPr>
        <w:t xml:space="preserve">(g)  </w:t>
        <w:tab/>
        <w:t>the exercise, non-exercise, or delay in exercising, by any Borrower, the Common Agent, or any other Secured Party of any of their rights and remedies under this Agreement or any other Financing Document;</w:t>
      </w:r>
    </w:p>
    <w:p>
      <w:pPr>
        <w:pStyle w:val="i"/>
        <w:tabs>
          <w:tab w:val="clear" w:pos="1296"/>
        </w:tabs>
        <w:ind w:hanging="1080" w:start="1080" w:end="0"/>
        <w:rPr>
          <w:color w:val="000000"/>
        </w:rPr>
      </w:pPr>
      <w:bookmarkStart w:id="362" w:name="_DV_M241"/>
      <w:bookmarkEnd w:id="362"/>
      <w:r>
        <w:rPr>
          <w:color w:val="000000"/>
        </w:rPr>
        <w:t>(h)</w:t>
        <w:tab/>
        <w:t>any assignment or other transfer of this Agreement by the Common Agent, or any assignment or other transfer of any Operative Document in whole or in part (other than to the extent such Sponsor is discharged or released through a Permitted Third Party Transfer);</w:t>
      </w:r>
    </w:p>
    <w:p>
      <w:pPr>
        <w:pStyle w:val="i"/>
        <w:tabs>
          <w:tab w:val="clear" w:pos="1296"/>
        </w:tabs>
        <w:ind w:hanging="1080" w:start="1080" w:end="0"/>
        <w:rPr>
          <w:color w:val="000000"/>
        </w:rPr>
      </w:pPr>
      <w:bookmarkStart w:id="363" w:name="_DV_M242"/>
      <w:bookmarkEnd w:id="363"/>
      <w:r>
        <w:rPr>
          <w:color w:val="000000"/>
        </w:rPr>
        <w:t xml:space="preserve">(i) </w:t>
        <w:tab/>
        <w:t>the transfer of the Project or any portion thereof or any other Collateral or any bid or purchase at any sale of the Project or the Collateral, or any consent to any of the foregoing; or</w:t>
      </w:r>
    </w:p>
    <w:p>
      <w:pPr>
        <w:pStyle w:val="i"/>
        <w:tabs>
          <w:tab w:val="clear" w:pos="1296"/>
        </w:tabs>
        <w:ind w:hanging="1080" w:start="1080" w:end="0"/>
        <w:rPr>
          <w:color w:val="000000"/>
        </w:rPr>
      </w:pPr>
      <w:bookmarkStart w:id="364" w:name="_DV_M243"/>
      <w:bookmarkEnd w:id="364"/>
      <w:r>
        <w:rPr>
          <w:color w:val="000000"/>
        </w:rPr>
        <w:t xml:space="preserve">(j)  </w:t>
        <w:tab/>
        <w:t>the existence, value of, condition of, or failure to perfect any Lien against, any security for the Secured Obligations or any action, or the absence of any action by any Borrower, or any Secured Party in respect thereof (including, without limitation, the release of any such security).</w:t>
      </w:r>
    </w:p>
    <w:p>
      <w:pPr>
        <w:pStyle w:val="Heading3"/>
        <w:ind w:hanging="0" w:start="0"/>
        <w:rPr>
          <w:color w:val="000000"/>
        </w:rPr>
      </w:pPr>
      <w:bookmarkStart w:id="365" w:name="__RefHeading___Toc490591564"/>
      <w:bookmarkStart w:id="366" w:name="_DV_M244"/>
      <w:bookmarkEnd w:id="365"/>
      <w:bookmarkEnd w:id="366"/>
      <w:r>
        <w:rPr>
          <w:color w:val="000000"/>
        </w:rPr>
        <w:t>4.3</w:t>
        <w:tab/>
        <w:t>Reinstatement.</w:t>
      </w:r>
    </w:p>
    <w:p>
      <w:pPr>
        <w:pStyle w:val="a"/>
        <w:ind w:hanging="0" w:start="0" w:end="0"/>
        <w:rPr>
          <w:color w:val="000000"/>
        </w:rPr>
      </w:pPr>
      <w:bookmarkStart w:id="367" w:name="_DV_M245"/>
      <w:bookmarkEnd w:id="367"/>
      <w:r>
        <w:rPr>
          <w:color w:val="000000"/>
        </w:rPr>
        <w:t>The payment obligations of each Sponsor pursuant to this Agreement shall be automatically reinstated if and to the extent that for any reason any payment by or on behalf of its Related Shareholder in respect of the Guaranteed Obligations is rescinded or must be otherwise restored, whether as a result of any proceedings in bankruptcy or reorganization or otherwise, and each Sponsor agrees that it will indemnify each Secured Party and its officers, directors, agents, and employees on demand for its pro rata share of all reasonable costs and expenses (including fees and expenses of counsel) incurred by such Secured Party in connection with such rescission or restoration of such Related Shareholder's payment, including any such costs and expenses incurred in defending against any claim alleging that such payment constituted a preference, fraudulent transfer, or similar payment under any bankruptcy, insolvency, or similar law.</w:t>
      </w:r>
    </w:p>
    <w:p>
      <w:pPr>
        <w:pStyle w:val="Heading3"/>
        <w:ind w:hanging="0" w:start="0"/>
        <w:rPr>
          <w:color w:val="000000"/>
        </w:rPr>
      </w:pPr>
      <w:bookmarkStart w:id="368" w:name="__RefHeading___Toc490591565"/>
      <w:bookmarkStart w:id="369" w:name="_DV_M246"/>
      <w:bookmarkEnd w:id="368"/>
      <w:bookmarkEnd w:id="369"/>
      <w:r>
        <w:rPr>
          <w:color w:val="000000"/>
        </w:rPr>
        <w:t>4.4</w:t>
        <w:tab/>
        <w:t>Waivers.</w:t>
      </w:r>
    </w:p>
    <w:p>
      <w:pPr>
        <w:pStyle w:val="BodyText"/>
        <w:rPr>
          <w:color w:val="000000"/>
        </w:rPr>
      </w:pPr>
      <w:bookmarkStart w:id="370" w:name="_DV_M247"/>
      <w:bookmarkEnd w:id="370"/>
      <w:r>
        <w:rPr>
          <w:color w:val="000000"/>
        </w:rPr>
        <w:t xml:space="preserve">In addition to the waivers of defenses referred to in Section 4.2, until such time as this Agreement has terminated in accordance with Section 10.2, each Sponsor hereby expressly waives: </w:t>
      </w:r>
    </w:p>
    <w:p>
      <w:pPr>
        <w:pStyle w:val="Paragraph2"/>
        <w:widowControl/>
        <w:tabs>
          <w:tab w:val="clear" w:pos="0"/>
          <w:tab w:val="clear" w:pos="1800"/>
          <w:tab w:val="clear" w:pos="1980"/>
          <w:tab w:val="clear" w:pos="2880"/>
          <w:tab w:val="clear" w:pos="3600"/>
          <w:tab w:val="clear" w:pos="4320"/>
          <w:tab w:val="clear" w:pos="5040"/>
          <w:tab w:val="clear" w:pos="5760"/>
          <w:tab w:val="clear" w:pos="6480"/>
          <w:tab w:val="clear" w:pos="7200"/>
          <w:tab w:val="clear" w:pos="7920"/>
          <w:tab w:val="clear" w:pos="9000"/>
          <w:tab w:val="clear" w:pos="9720"/>
          <w:tab w:val="left" w:pos="-1440" w:leader="none"/>
          <w:tab w:val="left" w:pos="-720" w:leader="none"/>
        </w:tabs>
        <w:spacing w:lineRule="exact" w:line="288"/>
        <w:ind w:hanging="720" w:end="0"/>
        <w:jc w:val="both"/>
        <w:rPr/>
      </w:pPr>
      <w:bookmarkStart w:id="371" w:name="_DV_M248"/>
      <w:bookmarkEnd w:id="371"/>
      <w:r>
        <w:rPr>
          <w:rFonts w:cs="Times New Roman" w:ascii="Times New Roman" w:hAnsi="Times New Roman"/>
          <w:color w:val="000000"/>
        </w:rPr>
        <w:t>(a)</w:t>
      </w:r>
      <w:r>
        <w:rPr>
          <w:rFonts w:cs="Times New Roman" w:ascii="Times New Roman" w:hAnsi="Times New Roman"/>
          <w:b/>
          <w:bCs/>
          <w:color w:val="000000"/>
        </w:rPr>
        <w:tab/>
      </w:r>
      <w:r>
        <w:rPr>
          <w:rFonts w:cs="Times New Roman" w:ascii="Times New Roman" w:hAnsi="Times New Roman"/>
          <w:color w:val="000000"/>
        </w:rPr>
        <w:t>diligence, presentment, demand of payment, protest, and all notices whatsoever, except as provided in Section 4.9 (whether for nonpayment or protest of acceptance, maturity, extension of time, change in nature or form of the Equity Contributions or the Secured Obligations, acceptance of security, release of security, composition, or agreement arrived at as to the amount of, or the terms of, the Guaranteed Obligations, Secured Obligations, and all other demands whatsoever), and any requirement that any Secured Party exhaust any right, power, or remedy to proceed against any Shareholder or any other Sponsor under this Agreement or any other agreement or instrument referred to herein;</w:t>
      </w:r>
    </w:p>
    <w:p>
      <w:pPr>
        <w:pStyle w:val="Paragraph2"/>
        <w:widowControl/>
        <w:tabs>
          <w:tab w:val="clear" w:pos="1800"/>
          <w:tab w:val="clear" w:pos="1980"/>
          <w:tab w:val="clear" w:pos="2880"/>
          <w:tab w:val="clear" w:pos="3600"/>
          <w:tab w:val="clear" w:pos="4320"/>
          <w:tab w:val="clear" w:pos="5040"/>
          <w:tab w:val="clear" w:pos="5760"/>
          <w:tab w:val="clear" w:pos="6480"/>
          <w:tab w:val="clear" w:pos="7200"/>
          <w:tab w:val="clear" w:pos="7920"/>
          <w:tab w:val="clear" w:pos="9000"/>
          <w:tab w:val="clear" w:pos="9720"/>
          <w:tab w:val="left" w:pos="-1440" w:leader="none"/>
          <w:tab w:val="left" w:pos="-720" w:leader="none"/>
          <w:tab w:val="left" w:pos="0" w:leader="none"/>
        </w:tabs>
        <w:spacing w:lineRule="exact" w:line="288"/>
        <w:ind w:hanging="720" w:end="0"/>
        <w:jc w:val="both"/>
        <w:rPr>
          <w:rFonts w:ascii="Times New Roman" w:hAnsi="Times New Roman" w:cs="Times New Roman"/>
          <w:color w:val="000000"/>
        </w:rPr>
      </w:pPr>
      <w:bookmarkStart w:id="372" w:name="_DV_M249"/>
      <w:bookmarkEnd w:id="372"/>
      <w:r>
        <w:rPr>
          <w:rFonts w:cs="Times New Roman" w:ascii="Times New Roman" w:hAnsi="Times New Roman"/>
          <w:color w:val="000000"/>
        </w:rPr>
        <w:t xml:space="preserve">(b) </w:t>
        <w:tab/>
        <w:t>to the extent permitted by Applicable Law, the benefits of Applicable Law which are in conflict with the terms of this Agreement;</w:t>
      </w:r>
    </w:p>
    <w:p>
      <w:pPr>
        <w:pStyle w:val="Paragraph2"/>
        <w:widowControl/>
        <w:tabs>
          <w:tab w:val="clear" w:pos="1800"/>
          <w:tab w:val="clear" w:pos="1980"/>
          <w:tab w:val="clear" w:pos="2880"/>
          <w:tab w:val="clear" w:pos="3600"/>
          <w:tab w:val="clear" w:pos="4320"/>
          <w:tab w:val="clear" w:pos="5040"/>
          <w:tab w:val="clear" w:pos="5760"/>
          <w:tab w:val="clear" w:pos="6480"/>
          <w:tab w:val="clear" w:pos="7200"/>
          <w:tab w:val="clear" w:pos="7920"/>
          <w:tab w:val="clear" w:pos="9000"/>
          <w:tab w:val="clear" w:pos="9720"/>
          <w:tab w:val="left" w:pos="-1440" w:leader="none"/>
          <w:tab w:val="left" w:pos="-720" w:leader="none"/>
          <w:tab w:val="left" w:pos="0" w:leader="none"/>
        </w:tabs>
        <w:spacing w:lineRule="exact" w:line="288"/>
        <w:ind w:hanging="720" w:end="0"/>
        <w:jc w:val="both"/>
        <w:rPr>
          <w:rFonts w:ascii="Times New Roman" w:hAnsi="Times New Roman" w:cs="Times New Roman"/>
          <w:color w:val="000000"/>
        </w:rPr>
      </w:pPr>
      <w:bookmarkStart w:id="373" w:name="_DV_M250"/>
      <w:bookmarkEnd w:id="373"/>
      <w:r>
        <w:rPr>
          <w:rFonts w:cs="Times New Roman" w:ascii="Times New Roman" w:hAnsi="Times New Roman"/>
          <w:color w:val="000000"/>
        </w:rPr>
        <w:t xml:space="preserve">(c)  </w:t>
        <w:tab/>
        <w:t xml:space="preserve">all rights of subrogation or contribution other than in accordance with the Subordination Agreement, whether arising by contract or operation of law (including any such right arising under the Bankruptcy Laws) or otherwise by reason of any payment by it pursuant to the provisions of this Article 4 and further agrees with the Borrowers for the benefit of each of their creditors (including each Secured Party) that any such payment by it shall constitute a contribution of capital by such Sponsor to the relevant Borrower (or an investment in the equity capital of such Borrower by such Sponsor); </w:t>
      </w:r>
    </w:p>
    <w:p>
      <w:pPr>
        <w:pStyle w:val="Paragraph2"/>
        <w:widowControl/>
        <w:tabs>
          <w:tab w:val="clear" w:pos="1800"/>
          <w:tab w:val="clear" w:pos="1980"/>
          <w:tab w:val="clear" w:pos="2880"/>
          <w:tab w:val="clear" w:pos="3600"/>
          <w:tab w:val="clear" w:pos="4320"/>
          <w:tab w:val="clear" w:pos="5040"/>
          <w:tab w:val="clear" w:pos="5760"/>
          <w:tab w:val="clear" w:pos="6480"/>
          <w:tab w:val="clear" w:pos="7200"/>
          <w:tab w:val="clear" w:pos="7920"/>
          <w:tab w:val="clear" w:pos="9000"/>
          <w:tab w:val="clear" w:pos="9720"/>
          <w:tab w:val="left" w:pos="-1440" w:leader="none"/>
          <w:tab w:val="left" w:pos="-720" w:leader="none"/>
          <w:tab w:val="left" w:pos="0" w:leader="none"/>
        </w:tabs>
        <w:spacing w:lineRule="exact" w:line="288"/>
        <w:ind w:hanging="720" w:end="0"/>
        <w:jc w:val="both"/>
        <w:rPr>
          <w:rFonts w:ascii="Times New Roman" w:hAnsi="Times New Roman" w:cs="Times New Roman"/>
          <w:color w:val="000000"/>
        </w:rPr>
      </w:pPr>
      <w:bookmarkStart w:id="374" w:name="_DV_M251"/>
      <w:bookmarkEnd w:id="374"/>
      <w:r>
        <w:rPr>
          <w:rFonts w:cs="Times New Roman" w:ascii="Times New Roman" w:hAnsi="Times New Roman"/>
          <w:color w:val="000000"/>
        </w:rPr>
        <w:t xml:space="preserve">(d)  </w:t>
        <w:tab/>
        <w:t>and agrees that it shall not at any time insist upon, plead, or in any manner whatsoever claim or take the benefit or advantage of, any appraisal, valuation, stay, extension, marshaling of assets or redemption laws, or exemption, whether now or at any time hereafter in force, which may delay, prevent, or otherwise affect the performance by such Sponsor of its obligations under, or the enforcement of this Agreement by any Secured Party or by the Common Agent on behalf of the Secured Parties;</w:t>
      </w:r>
    </w:p>
    <w:p>
      <w:pPr>
        <w:pStyle w:val="Paragraph2"/>
        <w:widowControl/>
        <w:tabs>
          <w:tab w:val="clear" w:pos="1800"/>
          <w:tab w:val="clear" w:pos="1980"/>
          <w:tab w:val="clear" w:pos="2880"/>
          <w:tab w:val="clear" w:pos="3600"/>
          <w:tab w:val="clear" w:pos="4320"/>
          <w:tab w:val="clear" w:pos="5040"/>
          <w:tab w:val="clear" w:pos="5760"/>
          <w:tab w:val="clear" w:pos="6480"/>
          <w:tab w:val="clear" w:pos="7200"/>
          <w:tab w:val="clear" w:pos="7920"/>
          <w:tab w:val="clear" w:pos="9000"/>
          <w:tab w:val="clear" w:pos="9720"/>
          <w:tab w:val="left" w:pos="-1440" w:leader="none"/>
          <w:tab w:val="left" w:pos="-720" w:leader="none"/>
          <w:tab w:val="left" w:pos="0" w:leader="none"/>
        </w:tabs>
        <w:spacing w:lineRule="exact" w:line="288"/>
        <w:ind w:hanging="720" w:end="0"/>
        <w:jc w:val="both"/>
        <w:rPr>
          <w:rFonts w:ascii="Times New Roman" w:hAnsi="Times New Roman" w:cs="Times New Roman"/>
          <w:color w:val="000000"/>
        </w:rPr>
      </w:pPr>
      <w:bookmarkStart w:id="375" w:name="_DV_M252"/>
      <w:bookmarkEnd w:id="375"/>
      <w:r>
        <w:rPr>
          <w:rFonts w:cs="Times New Roman" w:ascii="Times New Roman" w:hAnsi="Times New Roman"/>
          <w:color w:val="000000"/>
        </w:rPr>
        <w:t xml:space="preserve">(e)  </w:t>
        <w:tab/>
        <w:t>except to the extent expressly provided under the Disbursement Agreement, the TBS Shareholder Account Agreement, or the Subordination Agreement, (a) any rights to seek any reimbursement from any Shareholder or any Borrower in respect of payment made by the Sponsor hereunder and (b) any claim, counterclaim, or set off which it may have against any Shareholder or any Borrower and the right to exercise any rights or remedies or commence any proceedings with respect thereto.</w:t>
      </w:r>
    </w:p>
    <w:p>
      <w:pPr>
        <w:pStyle w:val="Paragraph2"/>
        <w:widowControl/>
        <w:tabs>
          <w:tab w:val="clear" w:pos="1800"/>
          <w:tab w:val="clear" w:pos="1980"/>
          <w:tab w:val="clear" w:pos="2880"/>
          <w:tab w:val="clear" w:pos="3600"/>
          <w:tab w:val="clear" w:pos="4320"/>
          <w:tab w:val="clear" w:pos="5040"/>
          <w:tab w:val="clear" w:pos="5760"/>
          <w:tab w:val="clear" w:pos="6480"/>
          <w:tab w:val="clear" w:pos="7200"/>
          <w:tab w:val="clear" w:pos="7920"/>
          <w:tab w:val="clear" w:pos="9000"/>
          <w:tab w:val="clear" w:pos="9720"/>
          <w:tab w:val="left" w:pos="-1440" w:leader="none"/>
          <w:tab w:val="left" w:pos="-720" w:leader="none"/>
          <w:tab w:val="left" w:pos="0" w:leader="none"/>
        </w:tabs>
        <w:spacing w:lineRule="exact" w:line="288"/>
        <w:ind w:hanging="720" w:end="0"/>
        <w:jc w:val="both"/>
        <w:rPr>
          <w:rFonts w:ascii="Times New Roman" w:hAnsi="Times New Roman" w:cs="Times New Roman"/>
          <w:color w:val="000000"/>
        </w:rPr>
      </w:pPr>
      <w:bookmarkStart w:id="376" w:name="_DV_M253"/>
      <w:bookmarkEnd w:id="376"/>
      <w:r>
        <w:rPr>
          <w:rFonts w:cs="Times New Roman" w:ascii="Times New Roman" w:hAnsi="Times New Roman"/>
          <w:color w:val="000000"/>
        </w:rPr>
        <w:t xml:space="preserve">(f)  </w:t>
        <w:tab/>
        <w:t>any right to require the Common Agent to proceed against any Shareholder, or any other guarantor at any time, to proceed against or exhaust the Collateral or any other security held by any Secured Party at any time, to pursue any other remedy whatsoever at any time.</w:t>
      </w:r>
    </w:p>
    <w:p>
      <w:pPr>
        <w:pStyle w:val="Paragraph2"/>
        <w:widowControl/>
        <w:tabs>
          <w:tab w:val="clear" w:pos="1800"/>
          <w:tab w:val="clear" w:pos="1980"/>
          <w:tab w:val="clear" w:pos="2880"/>
          <w:tab w:val="clear" w:pos="3600"/>
          <w:tab w:val="clear" w:pos="4320"/>
          <w:tab w:val="clear" w:pos="5040"/>
          <w:tab w:val="clear" w:pos="5760"/>
          <w:tab w:val="clear" w:pos="6480"/>
          <w:tab w:val="clear" w:pos="7200"/>
          <w:tab w:val="clear" w:pos="7920"/>
          <w:tab w:val="clear" w:pos="9000"/>
          <w:tab w:val="clear" w:pos="9720"/>
          <w:tab w:val="left" w:pos="-1440" w:leader="none"/>
          <w:tab w:val="left" w:pos="-720" w:leader="none"/>
          <w:tab w:val="left" w:pos="0" w:leader="none"/>
        </w:tabs>
        <w:spacing w:lineRule="exact" w:line="288"/>
        <w:ind w:hanging="720" w:end="0"/>
        <w:jc w:val="both"/>
        <w:rPr>
          <w:rFonts w:ascii="Times New Roman" w:hAnsi="Times New Roman" w:cs="Times New Roman"/>
          <w:color w:val="000000"/>
        </w:rPr>
      </w:pPr>
      <w:bookmarkStart w:id="377" w:name="_DV_M254"/>
      <w:bookmarkEnd w:id="377"/>
      <w:r>
        <w:rPr>
          <w:rFonts w:cs="Times New Roman" w:ascii="Times New Roman" w:hAnsi="Times New Roman"/>
          <w:color w:val="000000"/>
        </w:rPr>
        <w:t xml:space="preserve">(g)   </w:t>
        <w:tab/>
        <w:t>any defense based upon an election of remedies by the Common Agent, including any election to proceed by judicial or nonjudicial foreclosure of the Collateral or any security, whether real property or personal property security, or by deed in lieu thereof, and whether or not every aspect of any foreclosure sale is commercially reasonable, or any election of remedies relating to real property or personal property security that destroy or otherwise impair the rights of such Sponsor against any Shareholder, any Borrower, or any other guarantor for reimbursement, or both.</w:t>
      </w:r>
    </w:p>
    <w:p>
      <w:pPr>
        <w:pStyle w:val="Paragraph2"/>
        <w:widowControl/>
        <w:tabs>
          <w:tab w:val="clear" w:pos="1800"/>
          <w:tab w:val="clear" w:pos="1980"/>
          <w:tab w:val="clear" w:pos="2880"/>
          <w:tab w:val="clear" w:pos="3600"/>
          <w:tab w:val="clear" w:pos="4320"/>
          <w:tab w:val="clear" w:pos="5040"/>
          <w:tab w:val="clear" w:pos="5760"/>
          <w:tab w:val="clear" w:pos="6480"/>
          <w:tab w:val="clear" w:pos="7200"/>
          <w:tab w:val="clear" w:pos="7920"/>
          <w:tab w:val="clear" w:pos="9000"/>
          <w:tab w:val="clear" w:pos="9720"/>
          <w:tab w:val="left" w:pos="-1440" w:leader="none"/>
          <w:tab w:val="left" w:pos="-720" w:leader="none"/>
          <w:tab w:val="left" w:pos="0" w:leader="none"/>
        </w:tabs>
        <w:spacing w:lineRule="exact" w:line="288"/>
        <w:ind w:hanging="720" w:end="0"/>
        <w:jc w:val="both"/>
        <w:rPr/>
      </w:pPr>
      <w:bookmarkStart w:id="378" w:name="_DV_M255"/>
      <w:bookmarkEnd w:id="378"/>
      <w:r>
        <w:rPr>
          <w:rFonts w:cs="Times New Roman" w:ascii="Times New Roman" w:hAnsi="Times New Roman"/>
          <w:color w:val="000000"/>
        </w:rPr>
        <w:t>(h)</w:t>
        <w:tab/>
        <w:t>to the extent it may do so under Applicable Law, any protection it may be entitled to under Sections 365(c)(1) and 365(c)(2) of the Bankruptcy Reform Act of 1978, as amended or any successor provision of law of similar import or any provision of Applicable Law of similar import (</w:t>
      </w:r>
      <w:r>
        <w:rPr>
          <w:rFonts w:cs="Times New Roman" w:ascii="Times New Roman" w:hAnsi="Times New Roman"/>
          <w:b/>
          <w:bCs/>
          <w:i/>
          <w:iCs/>
          <w:color w:val="000000"/>
        </w:rPr>
        <w:t>Bankruptcy Laws</w:t>
      </w:r>
      <w:r>
        <w:rPr>
          <w:rFonts w:cs="Times New Roman" w:ascii="Times New Roman" w:hAnsi="Times New Roman"/>
          <w:color w:val="000000"/>
        </w:rPr>
        <w:t xml:space="preserve">) in the event of any voluntary or involuntary bankruptcy, insolvency, reorganization, liquidation, or arrangement proceeding, or similar proceeding or case with respect to any Borrower (a </w:t>
      </w:r>
      <w:r>
        <w:rPr>
          <w:rFonts w:cs="Times New Roman" w:ascii="Times New Roman" w:hAnsi="Times New Roman"/>
          <w:b/>
          <w:bCs/>
          <w:i/>
          <w:iCs/>
          <w:color w:val="000000"/>
        </w:rPr>
        <w:t>Bankruptcy</w:t>
      </w:r>
      <w:r>
        <w:rPr>
          <w:rFonts w:cs="Times New Roman" w:ascii="Times New Roman" w:hAnsi="Times New Roman"/>
          <w:i/>
          <w:iCs/>
          <w:color w:val="000000"/>
        </w:rPr>
        <w:t>).</w:t>
      </w:r>
      <w:r>
        <w:rPr>
          <w:rFonts w:cs="Times New Roman" w:ascii="Times New Roman" w:hAnsi="Times New Roman"/>
          <w:color w:val="000000"/>
        </w:rPr>
        <w:t xml:space="preserve"> Specifically, in the event that the trustee in bankruptcy,  administrator, receiver, liquidator, the debtor-in-possession, or similar party takes any action (including without limitation, the institution of any action, suit, or other proceeding in a Bankruptcy for the purpose of enforcing the obligations of any Borrower under this Agreement), no Sponsor shall assert any defense claim or counterclaim denying liability hereunder on the basis that this Agreement is an executory contract that cannot be assumed, assigned or enforced or on any other theory directly or indirectly based on Bankruptcy Laws.  If a Bankruptcy shall occur, each Sponsor agrees, after the occurrence of the Bankruptcy, to reconfirm in writing, to the extent permitted by applicable law, its pre-Bankruptcy waiver of any protection it may be entitled to under Bankruptcy Laws and, to give effect to such waiver, such Sponsor consents to the assumption and enforcement and each provision of this Agreement (except to the extent that the obligation of such Shareholder in such provision has already been performed) by the debtor-in-possession or the relevant Borrower’s trustee in bankruptcy, administrator, receiver, liquidator, or similar party, as the case may be.</w:t>
      </w:r>
    </w:p>
    <w:p>
      <w:pPr>
        <w:pStyle w:val="CPNormal"/>
        <w:ind w:hanging="720" w:start="720" w:end="0"/>
        <w:jc w:val="both"/>
        <w:rPr>
          <w:color w:val="000000"/>
        </w:rPr>
      </w:pPr>
      <w:bookmarkStart w:id="379" w:name="_DV_M256"/>
      <w:bookmarkEnd w:id="379"/>
      <w:r>
        <w:rPr>
          <w:color w:val="000000"/>
        </w:rPr>
        <w:t>(i)</w:t>
        <w:tab/>
        <w:t>to the extent applicable, and in such case to the fullest extent permitted by Applicable Law, the privileges and benefits set forth in Articles 1491, 1498, 1499, 1500, 1502, 1503 and 1504 of the Brazilian Civil Code and Article 262 of the Brazilian Commercial Code.</w:t>
      </w:r>
    </w:p>
    <w:p>
      <w:pPr>
        <w:pStyle w:val="BodyText"/>
        <w:rPr>
          <w:color w:val="000000"/>
        </w:rPr>
      </w:pPr>
      <w:bookmarkStart w:id="380" w:name="_DV_M257"/>
      <w:bookmarkEnd w:id="380"/>
      <w:r>
        <w:rPr>
          <w:color w:val="000000"/>
        </w:rPr>
        <w:t>Each Sponsor hereby unconditionally agrees that its guaranty hereunder will not be discharged except by complete performance of its obligations under Article 4 and that it will execute and deliver any document or instrument necessary to maintain its guaranty valid and in full force and effect.</w:t>
      </w:r>
    </w:p>
    <w:p>
      <w:pPr>
        <w:pStyle w:val="Heading3"/>
        <w:ind w:hanging="0" w:start="0"/>
        <w:rPr>
          <w:color w:val="000000"/>
        </w:rPr>
      </w:pPr>
      <w:bookmarkStart w:id="381" w:name="__RefHeading___Toc490591566"/>
      <w:bookmarkStart w:id="382" w:name="_DV_M258"/>
      <w:bookmarkEnd w:id="382"/>
      <w:r>
        <w:rPr>
          <w:color w:val="000000"/>
        </w:rPr>
        <w:t>4.5</w:t>
        <w:tab/>
        <w:t>Declaration that Due and Payable.</w:t>
      </w:r>
      <w:bookmarkStart w:id="383" w:name="_DV_M259"/>
      <w:bookmarkEnd w:id="381"/>
      <w:bookmarkEnd w:id="383"/>
      <w:r>
        <w:rPr>
          <w:color w:val="000000"/>
        </w:rPr>
        <w:t xml:space="preserve"> </w:t>
      </w:r>
    </w:p>
    <w:p>
      <w:pPr>
        <w:pStyle w:val="a"/>
        <w:ind w:hanging="0" w:start="0" w:end="0"/>
        <w:rPr>
          <w:color w:val="000000"/>
        </w:rPr>
      </w:pPr>
      <w:bookmarkStart w:id="384" w:name="_DV_M260"/>
      <w:bookmarkEnd w:id="384"/>
      <w:r>
        <w:rPr>
          <w:color w:val="000000"/>
        </w:rPr>
        <w:t>Each Sponsor agrees that, as between such Sponsor and the Secured Parties, the obligations of its Related Shareholders under this Agreement may be declared to be forthwith due and payable upon an Event of Default notwithstanding any stay, injunction, or other prohibition preventing such declaration (or such obligations from becoming automatically due and payable) as against any such Related Shareholder and that, in the event of such declaration (or such obligations being deemed to have become automatically due and payable), such obligations (whether or not due and payable by such Related Shareholder) shall forthwith become due and payable by such Sponsor for purposes of this Article 4.</w:t>
      </w:r>
    </w:p>
    <w:p>
      <w:pPr>
        <w:pStyle w:val="Heading3"/>
        <w:ind w:hanging="0" w:start="0"/>
        <w:rPr>
          <w:color w:val="000000"/>
        </w:rPr>
      </w:pPr>
      <w:bookmarkStart w:id="385" w:name="__RefHeading___Toc490591567"/>
      <w:bookmarkStart w:id="386" w:name="_DV_M261"/>
      <w:bookmarkEnd w:id="385"/>
      <w:bookmarkEnd w:id="386"/>
      <w:r>
        <w:rPr>
          <w:color w:val="000000"/>
        </w:rPr>
        <w:t>4.6</w:t>
        <w:tab/>
        <w:t>Instrument for the Payment of Money.</w:t>
      </w:r>
    </w:p>
    <w:p>
      <w:pPr>
        <w:pStyle w:val="a"/>
        <w:ind w:hanging="0" w:start="0" w:end="0"/>
        <w:rPr>
          <w:color w:val="000000"/>
        </w:rPr>
      </w:pPr>
      <w:bookmarkStart w:id="387" w:name="_DV_M262"/>
      <w:bookmarkEnd w:id="387"/>
      <w:r>
        <w:rPr>
          <w:color w:val="000000"/>
        </w:rPr>
        <w:t>Each Sponsor hereby acknowledges that the guarantee in this Article 4 constitutes an instrument for the payment of money, and consents and agrees that any Secured Party or the Common Agent or the Common Agent at the written direction of any Lender, at its sole option, in the event of a dispute by such Sponsors in the payment of any moneys due hereunder, shall have the right to bring a motion</w:t>
        <w:noBreakHyphen/>
        <w:t>action under New York CPLR Section 3213.</w:t>
      </w:r>
    </w:p>
    <w:p>
      <w:pPr>
        <w:pStyle w:val="Heading3"/>
        <w:ind w:hanging="0" w:start="0"/>
        <w:rPr>
          <w:color w:val="000000"/>
        </w:rPr>
      </w:pPr>
      <w:bookmarkStart w:id="388" w:name="__RefHeading___Toc490591568"/>
      <w:bookmarkStart w:id="389" w:name="_DV_M263"/>
      <w:bookmarkEnd w:id="388"/>
      <w:bookmarkEnd w:id="389"/>
      <w:r>
        <w:rPr>
          <w:color w:val="000000"/>
        </w:rPr>
        <w:t>4.7</w:t>
        <w:tab/>
        <w:t>Continuing Guarantee.</w:t>
      </w:r>
    </w:p>
    <w:p>
      <w:pPr>
        <w:pStyle w:val="a"/>
        <w:ind w:hanging="0" w:start="0" w:end="0"/>
        <w:rPr>
          <w:color w:val="000000"/>
        </w:rPr>
      </w:pPr>
      <w:bookmarkStart w:id="390" w:name="_DV_M264"/>
      <w:bookmarkEnd w:id="390"/>
      <w:r>
        <w:rPr>
          <w:color w:val="000000"/>
        </w:rPr>
        <w:t>The guarantee in this Article 4 is a continuing guarantee, and shall apply to the Guaranteed Obligations whenever arising.</w:t>
      </w:r>
    </w:p>
    <w:p>
      <w:pPr>
        <w:pStyle w:val="Heading3"/>
        <w:ind w:hanging="0" w:start="0"/>
        <w:rPr>
          <w:color w:val="000000"/>
        </w:rPr>
      </w:pPr>
      <w:bookmarkStart w:id="391" w:name="__RefHeading___Toc490591569"/>
      <w:bookmarkStart w:id="392" w:name="_DV_M265"/>
      <w:bookmarkEnd w:id="391"/>
      <w:bookmarkEnd w:id="392"/>
      <w:r>
        <w:rPr>
          <w:color w:val="000000"/>
        </w:rPr>
        <w:t>4.8</w:t>
        <w:tab/>
        <w:t>Bankruptcy.</w:t>
      </w:r>
    </w:p>
    <w:p>
      <w:pPr>
        <w:pStyle w:val="a"/>
        <w:ind w:hanging="0" w:start="0" w:end="0"/>
        <w:rPr>
          <w:color w:val="000000"/>
        </w:rPr>
      </w:pPr>
      <w:bookmarkStart w:id="393" w:name="_DV_M266"/>
      <w:bookmarkEnd w:id="393"/>
      <w:r>
        <w:rPr>
          <w:color w:val="000000"/>
        </w:rPr>
        <w:t>In any action or proceeding involving any state corporate law, or any state or Federal or foreign bankruptcy, insolvency, reorganization, or other law affecting the rights of creditors generally, if the obligation of any Sponsor under this Article 4 would otherwise be held or determined to be void, invalid, or unenforceable, or subordinated to the claims of any other creditors, on account of the amount of its liability under this Article 4, then, notwithstanding any other provision hereof to the contrary, the amount of such liability shall, without any further action by such Sponsor, any Secured Party,  or any other Person, be automatically limited and reduced to the highest amount that is valid and enforceable and not subordinated to the claims of other creditors as determined in such action or proceeding.</w:t>
      </w:r>
    </w:p>
    <w:p>
      <w:pPr>
        <w:pStyle w:val="Heading3"/>
        <w:ind w:hanging="0" w:start="0"/>
        <w:rPr>
          <w:color w:val="000000"/>
        </w:rPr>
      </w:pPr>
      <w:bookmarkStart w:id="394" w:name="__RefHeading___Toc490591570"/>
      <w:bookmarkStart w:id="395" w:name="_DV_M267"/>
      <w:bookmarkEnd w:id="394"/>
      <w:bookmarkEnd w:id="395"/>
      <w:r>
        <w:rPr>
          <w:color w:val="000000"/>
        </w:rPr>
        <w:t>4.9</w:t>
        <w:tab/>
        <w:t>Notice.</w:t>
      </w:r>
    </w:p>
    <w:p>
      <w:pPr>
        <w:pStyle w:val="a"/>
        <w:ind w:hanging="0" w:start="0" w:end="0"/>
        <w:rPr/>
      </w:pPr>
      <w:bookmarkStart w:id="396" w:name="_DV_M268"/>
      <w:bookmarkEnd w:id="396"/>
      <w:r>
        <w:rPr>
          <w:color w:val="000000"/>
        </w:rPr>
        <w:t xml:space="preserve">No Sponsor shall become liable to make any payment hereunder until ten (10) Business Days following receipt by such Sponsor of notice from the Common Agent (upon the written instructions of a Lender) that a payment of the Guaranteed Obligations is due hereunder.  Each Sponsor agrees that, notwithstanding any stay, injunction, or other prohibition preventing the payment of all or any portion of the Guaranteed Obligations, by any party other than such Sponsor, such Guaranteed Obligations shall nevertheless become due and payable by such Sponsor for the purposes of this Agreement upon the occurrence of any event or condition giving rise to the obligation of such Sponsor to pay such Guaranteed Obligations; </w:t>
      </w:r>
      <w:r>
        <w:rPr>
          <w:b/>
          <w:bCs/>
          <w:i/>
          <w:iCs/>
          <w:color w:val="000000"/>
        </w:rPr>
        <w:t>provided</w:t>
      </w:r>
      <w:r>
        <w:rPr>
          <w:i/>
          <w:iCs/>
          <w:color w:val="000000"/>
        </w:rPr>
        <w:t>,</w:t>
      </w:r>
      <w:r>
        <w:rPr>
          <w:color w:val="000000"/>
        </w:rPr>
        <w:t xml:space="preserve"> that the notice provision in this Section 4.9 is satisfied.</w:t>
      </w:r>
    </w:p>
    <w:p>
      <w:pPr>
        <w:pStyle w:val="Heading3"/>
        <w:ind w:hanging="0" w:start="0"/>
        <w:rPr>
          <w:color w:val="000000"/>
        </w:rPr>
      </w:pPr>
      <w:bookmarkStart w:id="397" w:name="__RefHeading___Toc490591571"/>
      <w:bookmarkStart w:id="398" w:name="_DV_M269"/>
      <w:bookmarkEnd w:id="397"/>
      <w:bookmarkEnd w:id="398"/>
      <w:r>
        <w:rPr>
          <w:color w:val="000000"/>
        </w:rPr>
        <w:t>4.10</w:t>
        <w:tab/>
        <w:t>Guaranty of Payment.</w:t>
      </w:r>
    </w:p>
    <w:p>
      <w:pPr>
        <w:pStyle w:val="Normal"/>
        <w:tabs>
          <w:tab w:val="clear" w:pos="720"/>
          <w:tab w:val="left" w:pos="-1440" w:leader="none"/>
        </w:tabs>
        <w:spacing w:lineRule="exact" w:line="288" w:before="0" w:after="288"/>
        <w:jc w:val="both"/>
        <w:rPr/>
      </w:pPr>
      <w:bookmarkStart w:id="399" w:name="_DV_M270"/>
      <w:bookmarkEnd w:id="399"/>
      <w:r>
        <w:rPr>
          <w:color w:val="000000"/>
        </w:rPr>
        <w:t xml:space="preserve">The obligation of each Sponsor under this Article 4 is a guaranty of payment and not of collection, and the Lenders shall not be required to first resort to any security provided to them under the Security Documents; </w:t>
      </w:r>
      <w:r>
        <w:rPr>
          <w:b/>
          <w:bCs/>
          <w:i/>
          <w:iCs/>
          <w:color w:val="000000"/>
        </w:rPr>
        <w:t>provided, however</w:t>
      </w:r>
      <w:r>
        <w:rPr>
          <w:i/>
          <w:iCs/>
          <w:color w:val="000000"/>
        </w:rPr>
        <w:t xml:space="preserve">, </w:t>
      </w:r>
      <w:r>
        <w:rPr>
          <w:color w:val="000000"/>
        </w:rPr>
        <w:t>that unless demand on its Related Shareholder, is prohibited, delayed, or prevented by any law, order, or bankruptcy, or other insolvency proceeding or such Sponsor is subject to any bankruptcy or other insolvency proceeding, the Common Agent, at the written direction of a Secured Party, shall first make demand on such Related Shareholder before issuing the notice provided in Section 4.9 to such Sponsor.</w:t>
      </w:r>
    </w:p>
    <w:p>
      <w:pPr>
        <w:pStyle w:val="Heading3"/>
        <w:ind w:hanging="0" w:start="0"/>
        <w:rPr>
          <w:color w:val="000000"/>
        </w:rPr>
      </w:pPr>
      <w:bookmarkStart w:id="400" w:name="__RefHeading___Toc490591572"/>
      <w:bookmarkStart w:id="401" w:name="_DV_M271"/>
      <w:bookmarkEnd w:id="400"/>
      <w:bookmarkEnd w:id="401"/>
      <w:r>
        <w:rPr>
          <w:color w:val="000000"/>
        </w:rPr>
        <w:t>4.11</w:t>
        <w:tab/>
        <w:t>Subrogation and Subordination.</w:t>
      </w:r>
    </w:p>
    <w:p>
      <w:pPr>
        <w:pStyle w:val="Normal"/>
        <w:spacing w:lineRule="exact" w:line="288" w:before="0" w:after="288"/>
        <w:jc w:val="both"/>
        <w:rPr/>
      </w:pPr>
      <w:bookmarkStart w:id="402" w:name="_DV_M272"/>
      <w:bookmarkEnd w:id="402"/>
      <w:r>
        <w:rPr>
          <w:color w:val="000000"/>
        </w:rPr>
        <w:t xml:space="preserve">Upon making any payment under this Article 4 by any Sponsor, such Sponsor shall be subrogated to the rights of the relevant Borrower against its Shareholder with respect to such payment; </w:t>
      </w:r>
      <w:r>
        <w:rPr>
          <w:b/>
          <w:bCs/>
          <w:i/>
          <w:iCs/>
          <w:color w:val="000000"/>
        </w:rPr>
        <w:t>provided</w:t>
      </w:r>
      <w:r>
        <w:rPr>
          <w:b/>
          <w:bCs/>
          <w:color w:val="000000"/>
        </w:rPr>
        <w:t xml:space="preserve"> </w:t>
      </w:r>
      <w:r>
        <w:rPr>
          <w:color w:val="000000"/>
        </w:rPr>
        <w:t xml:space="preserve">that until the Guaranteed Obligations have been indefeasibly paid in full and all Commitments shall have expired or terminated, such Sponsor shall not, and shall not permit any of its Subsidiaries having a direct or indirect interest in any Borrower to, take any action with respect to any of the Collateral.  </w:t>
      </w:r>
    </w:p>
    <w:p>
      <w:pPr>
        <w:pStyle w:val="Heading2"/>
        <w:ind w:hanging="0" w:start="0"/>
        <w:rPr>
          <w:color w:val="000000"/>
        </w:rPr>
      </w:pPr>
      <w:bookmarkStart w:id="403" w:name="__RefHeading___Toc490591573"/>
      <w:bookmarkStart w:id="404" w:name="_DV_M273"/>
      <w:bookmarkEnd w:id="403"/>
      <w:bookmarkEnd w:id="404"/>
      <w:r>
        <w:rPr>
          <w:color w:val="000000"/>
        </w:rPr>
        <w:t>ARTICLE 5.  Payments Free And Clear Of Taxes, Etc.</w:t>
      </w:r>
    </w:p>
    <w:p>
      <w:pPr>
        <w:pStyle w:val="Heading3"/>
        <w:ind w:hanging="0" w:start="0"/>
        <w:rPr>
          <w:color w:val="000000"/>
        </w:rPr>
      </w:pPr>
      <w:bookmarkStart w:id="405" w:name="__RefHeading___Toc490591574"/>
      <w:bookmarkStart w:id="406" w:name="_DV_M274"/>
      <w:bookmarkEnd w:id="405"/>
      <w:bookmarkEnd w:id="406"/>
      <w:r>
        <w:rPr>
          <w:color w:val="000000"/>
        </w:rPr>
        <w:t>5.1</w:t>
        <w:tab/>
        <w:t>Payments Free and Clear of Taxes.</w:t>
      </w:r>
    </w:p>
    <w:p>
      <w:pPr>
        <w:pStyle w:val="BodyText"/>
        <w:spacing w:lineRule="exact" w:line="288" w:before="0" w:after="288"/>
        <w:rPr>
          <w:color w:val="000000"/>
        </w:rPr>
      </w:pPr>
      <w:bookmarkStart w:id="407" w:name="_DV_M275"/>
      <w:bookmarkEnd w:id="407"/>
      <w:r>
        <w:rPr>
          <w:color w:val="000000"/>
        </w:rPr>
        <w:t>All sums payable by any Shareholder or Sponsor shall be paid in full, free of any deductions or withholdings for any and all present and future Taxes.  In the event that any Shareholder or Sponsor is prohibited by law from making payments hereunder free of such deductions or withholdings, then such Shareholder or Sponsor shall pay such additional amount as may be necessary in order that the actual amount received after such deduction or withholding shall equal the full amount stated to be payable hereunder by it.</w:t>
      </w:r>
    </w:p>
    <w:p>
      <w:pPr>
        <w:pStyle w:val="Heading3"/>
        <w:ind w:hanging="0" w:start="0"/>
        <w:rPr>
          <w:color w:val="000000"/>
        </w:rPr>
      </w:pPr>
      <w:bookmarkStart w:id="408" w:name="__RefHeading___Toc490591575"/>
      <w:bookmarkStart w:id="409" w:name="_DV_M276"/>
      <w:bookmarkEnd w:id="408"/>
      <w:bookmarkEnd w:id="409"/>
      <w:r>
        <w:rPr>
          <w:color w:val="000000"/>
        </w:rPr>
        <w:t>5.2</w:t>
        <w:tab/>
        <w:t>Payment to Tax Authorities.</w:t>
      </w:r>
    </w:p>
    <w:p>
      <w:pPr>
        <w:pStyle w:val="Normal"/>
        <w:spacing w:lineRule="exact" w:line="288" w:before="0" w:after="288"/>
        <w:jc w:val="both"/>
        <w:rPr>
          <w:b/>
          <w:bCs/>
          <w:color w:val="000000"/>
        </w:rPr>
      </w:pPr>
      <w:bookmarkStart w:id="410" w:name="_DV_M277"/>
      <w:bookmarkEnd w:id="410"/>
      <w:r>
        <w:rPr>
          <w:color w:val="000000"/>
        </w:rPr>
        <w:t>Each Shareholder and Sponsor shall pay directly to all appropriate taxing authorities any and all Taxes, and all liabilities with respect to such Taxes, imposed by law or by any taxing authority on or with regard to any payment required to be made by such Shareholder or Sponsor hereunder, except for any Taxes or other liabilities that are being</w:t>
      </w:r>
      <w:r>
        <w:rPr>
          <w:b/>
          <w:bCs/>
          <w:color w:val="000000"/>
        </w:rPr>
        <w:t xml:space="preserve"> </w:t>
      </w:r>
      <w:r>
        <w:rPr>
          <w:color w:val="000000"/>
        </w:rPr>
        <w:t xml:space="preserve">contested in good faith by appropriate proceedings; </w:t>
      </w:r>
      <w:r>
        <w:rPr>
          <w:b/>
          <w:bCs/>
          <w:i/>
          <w:iCs/>
          <w:color w:val="000000"/>
        </w:rPr>
        <w:t>provided</w:t>
      </w:r>
      <w:r>
        <w:rPr>
          <w:b/>
          <w:bCs/>
          <w:color w:val="000000"/>
        </w:rPr>
        <w:t xml:space="preserve"> </w:t>
      </w:r>
      <w:r>
        <w:rPr>
          <w:color w:val="000000"/>
        </w:rPr>
        <w:t>that such Shareholder or Sponsor (as the case may be) hereby indemnifies each Secured Party and holds them each harmless from and against any and all liabilities, fees, or additional expenses with respect to or resulting from any delay in paying, or omission to pay, such Taxes or other liabilities in respect of such payment required to be made by such Shareholder or Sponsor.  Within 45 days after the payment by any Shareholder or Sponsor of any such Taxes, such Shareholder or Sponsor shall furnish the Common Agent with the original or a certified copy of the receipt evidencing payment thereof, together with any other information any Secured Party may reasonably require to establish to its satisfaction that full and timely payment of such Taxes has been made.</w:t>
      </w:r>
    </w:p>
    <w:p>
      <w:pPr>
        <w:pStyle w:val="Heading2"/>
        <w:ind w:hanging="0" w:start="0"/>
        <w:rPr>
          <w:color w:val="000000"/>
        </w:rPr>
      </w:pPr>
      <w:bookmarkStart w:id="411" w:name="__RefHeading___Toc490591576"/>
      <w:bookmarkStart w:id="412" w:name="_DV_M278"/>
      <w:bookmarkEnd w:id="411"/>
      <w:bookmarkEnd w:id="412"/>
      <w:r>
        <w:rPr>
          <w:color w:val="000000"/>
        </w:rPr>
        <w:t>ARTICLE 6.  Representations and Warranties</w:t>
      </w:r>
    </w:p>
    <w:p>
      <w:pPr>
        <w:pStyle w:val="Heading3"/>
        <w:ind w:hanging="0" w:start="0"/>
        <w:rPr/>
      </w:pPr>
      <w:bookmarkStart w:id="413" w:name="__RefHeading___Toc490591577"/>
      <w:bookmarkStart w:id="414" w:name="_DV_M279"/>
      <w:bookmarkEnd w:id="413"/>
      <w:bookmarkEnd w:id="414"/>
      <w:r>
        <w:rPr>
          <w:smallCaps/>
          <w:color w:val="000000"/>
        </w:rPr>
        <w:t>6.1</w:t>
        <w:tab/>
      </w:r>
      <w:r>
        <w:rPr>
          <w:color w:val="000000"/>
        </w:rPr>
        <w:t>Representations of the Shareholders and the Sponsors.</w:t>
      </w:r>
    </w:p>
    <w:p>
      <w:pPr>
        <w:pStyle w:val="BodyText"/>
        <w:rPr>
          <w:color w:val="000000"/>
        </w:rPr>
      </w:pPr>
      <w:bookmarkStart w:id="415" w:name="_DV_M280"/>
      <w:bookmarkEnd w:id="415"/>
      <w:r>
        <w:rPr>
          <w:color w:val="000000"/>
        </w:rPr>
        <w:t xml:space="preserve">Each Shareholder and each Sponsor represents and warrants to the Secured Parties that as of the date of this Agreement and on the date of each Advance:  </w:t>
      </w:r>
    </w:p>
    <w:p>
      <w:pPr>
        <w:pStyle w:val="a"/>
        <w:rPr/>
      </w:pPr>
      <w:bookmarkStart w:id="416" w:name="_DV_M281"/>
      <w:bookmarkEnd w:id="416"/>
      <w:r>
        <w:rPr>
          <w:color w:val="000000"/>
        </w:rPr>
        <w:t>(a)</w:t>
        <w:tab/>
        <w:t xml:space="preserve">It is a company, </w:t>
      </w:r>
      <w:r>
        <w:rPr>
          <w:i/>
          <w:iCs/>
          <w:color w:val="000000"/>
        </w:rPr>
        <w:t>sociedad anónima</w:t>
      </w:r>
      <w:r>
        <w:rPr>
          <w:color w:val="000000"/>
        </w:rPr>
        <w:t>, or corporation, as applicable, duly organized, validly existing and in good standing under the laws of the jurisdiction of its organization referred to in the introductory paragraph of this Agreement.</w:t>
      </w:r>
    </w:p>
    <w:p>
      <w:pPr>
        <w:pStyle w:val="a"/>
        <w:rPr>
          <w:color w:val="000000"/>
        </w:rPr>
      </w:pPr>
      <w:bookmarkStart w:id="417" w:name="_DV_M282"/>
      <w:bookmarkEnd w:id="417"/>
      <w:r>
        <w:rPr>
          <w:color w:val="000000"/>
        </w:rPr>
        <w:t>(b)</w:t>
        <w:tab/>
        <w:t>It has all necessary corporate, partnership, or other like power, authority, and legal right to execute, deliver, and perform its obligations under this Agreement and to carry on its business as now conducted; the execution, delivery, and performance by it of this Agreement have been duly authorized by all necessary corporate, partnership, or other like action on its part; and this Agreement has been duly and validly executed and delivered by it and constitutes its legal, valid, and binding obligation, enforceable against it in accordance with its terms, except as such enforceability may be limited by (i) bankruptcy, insolvency, reorganization, moratorium, or similar laws of general applicability affecting the enforcement of creditors’ rights and (ii) the application of general principles of equity (regardless of whether such enforceability is considered in a proceeding in equity or at law).</w:t>
      </w:r>
    </w:p>
    <w:p>
      <w:pPr>
        <w:pStyle w:val="a"/>
        <w:rPr>
          <w:color w:val="000000"/>
        </w:rPr>
      </w:pPr>
      <w:bookmarkStart w:id="418" w:name="_DV_M283"/>
      <w:bookmarkEnd w:id="418"/>
      <w:r>
        <w:rPr>
          <w:color w:val="000000"/>
        </w:rPr>
        <w:t>(c)</w:t>
        <w:tab/>
        <w:t>No authorizations, approvals, or consents of, and no filings or registrations with, any governmental or regulatory authority or agency, or any securities exchange (other than those already obtained or the failure to obtain which would not reasonably be expected to have a material adverse effect on its ability to perform its obligations hereunder or the legality, validity, or enforceability hereof), are necessary for the execution, delivery, or performance by it of this Agreement and the transactions contemplated hereby, including without limitation, its direct or indirect ownership of any Borrower or Financing Company or for the legality, validity, or enforceability hereof.</w:t>
      </w:r>
    </w:p>
    <w:p>
      <w:pPr>
        <w:pStyle w:val="a"/>
        <w:rPr>
          <w:color w:val="000000"/>
        </w:rPr>
      </w:pPr>
      <w:bookmarkStart w:id="419" w:name="_DV_M284"/>
      <w:bookmarkEnd w:id="419"/>
      <w:r>
        <mc:AlternateContent>
          <mc:Choice Requires="wps">
            <w:drawing>
              <wp:anchor behindDoc="0" distT="0" distB="0" distL="114935" distR="114935" simplePos="0" locked="0" layoutInCell="1" allowOverlap="1" relativeHeight="2">
                <wp:simplePos x="0" y="0"/>
                <wp:positionH relativeFrom="column">
                  <wp:posOffset>-822960</wp:posOffset>
                </wp:positionH>
                <wp:positionV relativeFrom="paragraph">
                  <wp:posOffset>129540</wp:posOffset>
                </wp:positionV>
                <wp:extent cx="91440" cy="91440"/>
                <wp:effectExtent l="5080" t="5080" r="5080" b="5080"/>
                <wp:wrapNone/>
                <wp:docPr id="1" name=""/>
                <a:graphic xmlns:a="http://schemas.openxmlformats.org/drawingml/2006/main">
                  <a:graphicData uri="http://schemas.microsoft.com/office/word/2010/wordprocessingShape">
                    <wps:wsp>
                      <wps:cNvSpPr/>
                      <wps:spPr>
                        <a:xfrm>
                          <a:off x="0" y="0"/>
                          <a:ext cx="91440" cy="91440"/>
                        </a:xfrm>
                        <a:prstGeom prst="rect">
                          <a:avLst/>
                        </a:prstGeom>
                        <a:solidFill>
                          <a:srgbClr val="ffffff"/>
                        </a:solidFill>
                        <a:ln w="9360">
                          <a:solidFill>
                            <a:srgbClr val="ffffff"/>
                          </a:solidFill>
                          <a:miter/>
                        </a:ln>
                      </wps:spPr>
                      <wps:style>
                        <a:lnRef idx="0"/>
                        <a:fillRef idx="0"/>
                        <a:effectRef idx="0"/>
                        <a:fontRef idx="minor"/>
                      </wps:style>
                      <wps:bodyPr/>
                    </wps:wsp>
                  </a:graphicData>
                </a:graphic>
              </wp:anchor>
            </w:drawing>
          </mc:Choice>
          <mc:Fallback>
            <w:pict>
              <v:rect id="shape_0" fillcolor="white" stroked="t" o:allowincell="f" style="position:absolute;margin-left:-64.8pt;margin-top:10.2pt;width:7.15pt;height:7.15pt;mso-wrap-style:none;v-text-anchor:middle">
                <v:fill o:detectmouseclick="t" type="solid" color2="black"/>
                <v:stroke color="white" weight="9360" joinstyle="miter" endcap="flat"/>
                <w10:wrap type="none"/>
              </v:rect>
            </w:pict>
          </mc:Fallback>
        </mc:AlternateContent>
      </w:r>
      <w:r>
        <w:rPr>
          <w:color w:val="000000"/>
        </w:rPr>
        <w:t>(d)</w:t>
        <w:tab/>
        <w:t>None of the execution and delivery of this Agreement, the consummation of the transactions herein contemplated, or compliance with the terms and provisions hereof will require the consent of or approval of any of its creditors, or conflict with or result in a breach of, or require any consent under, its charter or by-laws (or other organizational document or operating agreement), or any Applicable Law or regulation, or any order, writ, injunction, or decree of any court or governmental authority or agency, or any agreement or instrument to which it or any of its Related Shareholders, is a party or by which it or any of its Related Shareholders, or its Property or any of  its Related Shareholder' Property is bound or to which any of them is subject, or constitute a default under any such agreement or instrument, or result in the creation or imposition of any Lien (other than a Permitted Lien) upon any of its Property or  any Property of its Related Shareholders  pursuant to the terms of any such agreement or instrument.</w:t>
      </w:r>
    </w:p>
    <w:p>
      <w:pPr>
        <w:pStyle w:val="a"/>
        <w:rPr>
          <w:color w:val="000000"/>
        </w:rPr>
      </w:pPr>
      <w:bookmarkStart w:id="420" w:name="_DV_M285"/>
      <w:bookmarkEnd w:id="420"/>
      <w:r>
        <w:rPr>
          <w:color w:val="000000"/>
        </w:rPr>
        <w:t>(e)</w:t>
        <w:tab/>
        <w:t>In the case of Enron Corp., EIBH, and EBPH, neither it nor any of its Subsidiaries is an "investment company" within the meaning of the Investment Company Act.</w:t>
      </w:r>
    </w:p>
    <w:p>
      <w:pPr>
        <w:pStyle w:val="a"/>
        <w:rPr>
          <w:color w:val="000000"/>
        </w:rPr>
      </w:pPr>
      <w:bookmarkStart w:id="421" w:name="_DV_M286"/>
      <w:bookmarkEnd w:id="421"/>
      <w:r>
        <w:rPr>
          <w:color w:val="000000"/>
        </w:rPr>
        <w:t>(f)</w:t>
        <w:tab/>
        <w:t>In the case of each of Enron Corp., EIBH, and EBPH, such Sponsor or Shareholder, and each of its Principal Subsidiaries are either not subject to regulation as, or are exempt from regulation as, a "holding company" or a "subsidiary company" of a "holding company" within the meaning of the Public Utility Holding Company Act.</w:t>
      </w:r>
    </w:p>
    <w:p>
      <w:pPr>
        <w:pStyle w:val="a"/>
        <w:rPr>
          <w:color w:val="000000"/>
        </w:rPr>
      </w:pPr>
      <w:bookmarkStart w:id="422" w:name="_DV_M287"/>
      <w:bookmarkEnd w:id="422"/>
      <w:r>
        <w:rPr>
          <w:color w:val="000000"/>
        </w:rPr>
        <w:t>(g)</w:t>
        <w:tab/>
        <w:t>It owns directly, or, in the case of its ownership interest in EPE or GasMat (as the case may be) indirectly, beneficially, and of record the following percentages in the issued and outstanding capital stock or other equity interests  (as the case may be) of the following entities:</w:t>
      </w:r>
      <w:r>
        <w:rPr>
          <w:rStyle w:val="FootnoteCharacters"/>
          <w:rStyle w:val="FootnoteReference"/>
          <w:color w:val="000000"/>
        </w:rPr>
        <w:footnoteReference w:id="11"/>
      </w:r>
    </w:p>
    <w:p>
      <w:pPr>
        <w:pStyle w:val="BodyText"/>
        <w:ind w:hanging="720" w:start="1440" w:end="0"/>
        <w:rPr>
          <w:b/>
          <w:bCs/>
          <w:i/>
          <w:i/>
          <w:iCs/>
          <w:color w:val="000000"/>
        </w:rPr>
      </w:pPr>
      <w:bookmarkStart w:id="423" w:name="_DV_M288"/>
      <w:bookmarkEnd w:id="423"/>
      <w:r>
        <w:rPr>
          <w:color w:val="000000"/>
        </w:rPr>
        <w:t xml:space="preserve">(i)  </w:t>
        <w:tab/>
        <w:t>in the case of Enron Holdings</w:t>
      </w:r>
      <w:r>
        <w:rPr>
          <w:b/>
          <w:bCs/>
          <w:i/>
          <w:iCs/>
          <w:color w:val="000000"/>
        </w:rPr>
        <w:t xml:space="preserve">,  </w:t>
      </w:r>
      <w:r>
        <w:rPr>
          <w:color w:val="000000"/>
        </w:rPr>
        <w:t>___% of EPE;</w:t>
      </w:r>
    </w:p>
    <w:p>
      <w:pPr>
        <w:pStyle w:val="BodyText"/>
        <w:ind w:hanging="720" w:start="1440" w:end="0"/>
        <w:rPr/>
      </w:pPr>
      <w:bookmarkStart w:id="424" w:name="_DV_M289"/>
      <w:bookmarkEnd w:id="424"/>
      <w:r>
        <w:rPr>
          <w:color w:val="000000"/>
        </w:rPr>
        <w:t>(ii)</w:t>
      </w:r>
      <w:r>
        <w:rPr>
          <w:b/>
          <w:bCs/>
          <w:i/>
          <w:iCs/>
          <w:color w:val="000000"/>
        </w:rPr>
        <w:t xml:space="preserve">  </w:t>
        <w:tab/>
      </w:r>
      <w:r>
        <w:rPr>
          <w:color w:val="000000"/>
        </w:rPr>
        <w:t>in the case of SCHL</w:t>
      </w:r>
      <w:r>
        <w:rPr>
          <w:b/>
          <w:bCs/>
          <w:i/>
          <w:iCs/>
          <w:color w:val="000000"/>
        </w:rPr>
        <w:t xml:space="preserve">, </w:t>
      </w:r>
      <w:r>
        <w:rPr>
          <w:color w:val="000000"/>
        </w:rPr>
        <w:t>___%</w:t>
      </w:r>
      <w:r>
        <w:rPr>
          <w:b/>
          <w:bCs/>
          <w:i/>
          <w:iCs/>
          <w:color w:val="000000"/>
        </w:rPr>
        <w:t xml:space="preserve"> </w:t>
      </w:r>
      <w:r>
        <w:rPr>
          <w:color w:val="000000"/>
        </w:rPr>
        <w:t>of EPE,  and ___% of GasMat;</w:t>
      </w:r>
    </w:p>
    <w:p>
      <w:pPr>
        <w:pStyle w:val="BodyText"/>
        <w:ind w:hanging="720" w:start="1440" w:end="0"/>
        <w:rPr/>
      </w:pPr>
      <w:bookmarkStart w:id="425" w:name="_DV_M290"/>
      <w:bookmarkEnd w:id="425"/>
      <w:r>
        <w:rPr>
          <w:color w:val="000000"/>
        </w:rPr>
        <w:t xml:space="preserve">(iii)  </w:t>
        <w:tab/>
        <w:t>in the case of EBPH</w:t>
      </w:r>
      <w:r>
        <w:rPr>
          <w:b/>
          <w:bCs/>
          <w:i/>
          <w:iCs/>
          <w:color w:val="000000"/>
        </w:rPr>
        <w:t xml:space="preserve">,  </w:t>
      </w:r>
      <w:r>
        <w:rPr>
          <w:color w:val="000000"/>
        </w:rPr>
        <w:t>___% of GasMat;</w:t>
      </w:r>
    </w:p>
    <w:p>
      <w:pPr>
        <w:pStyle w:val="BodyText"/>
        <w:ind w:hanging="720" w:start="1440" w:end="0"/>
        <w:rPr>
          <w:b/>
          <w:bCs/>
          <w:i/>
          <w:i/>
          <w:iCs/>
          <w:color w:val="000000"/>
        </w:rPr>
      </w:pPr>
      <w:bookmarkStart w:id="426" w:name="_DV_M291"/>
      <w:bookmarkEnd w:id="426"/>
      <w:r>
        <w:rPr>
          <w:color w:val="000000"/>
        </w:rPr>
        <w:t xml:space="preserve">(iv)  </w:t>
        <w:tab/>
        <w:t>in the case of  SGLA</w:t>
      </w:r>
      <w:r>
        <w:rPr>
          <w:b/>
          <w:bCs/>
          <w:i/>
          <w:iCs/>
          <w:color w:val="000000"/>
        </w:rPr>
        <w:t xml:space="preserve">,  </w:t>
      </w:r>
      <w:r>
        <w:rPr>
          <w:color w:val="000000"/>
        </w:rPr>
        <w:t>___% of GasBol;</w:t>
      </w:r>
    </w:p>
    <w:p>
      <w:pPr>
        <w:pStyle w:val="BodyText"/>
        <w:ind w:hanging="720" w:start="1440" w:end="0"/>
        <w:rPr/>
      </w:pPr>
      <w:bookmarkStart w:id="427" w:name="_DV_M292"/>
      <w:bookmarkEnd w:id="427"/>
      <w:r>
        <w:rPr>
          <w:color w:val="000000"/>
        </w:rPr>
        <w:t xml:space="preserve">(v) </w:t>
      </w:r>
      <w:r>
        <w:rPr>
          <w:b/>
          <w:bCs/>
          <w:i/>
          <w:iCs/>
          <w:color w:val="000000"/>
        </w:rPr>
        <w:t xml:space="preserve"> </w:t>
      </w:r>
      <w:r>
        <w:rPr>
          <w:color w:val="000000"/>
        </w:rPr>
        <w:tab/>
        <w:t>in the case of  EIBH, ___% of GasBol; and</w:t>
      </w:r>
    </w:p>
    <w:p>
      <w:pPr>
        <w:pStyle w:val="BodyText"/>
        <w:ind w:hanging="720" w:start="1440" w:end="0"/>
        <w:rPr>
          <w:color w:val="000000"/>
        </w:rPr>
      </w:pPr>
      <w:bookmarkStart w:id="428" w:name="_DV_M293"/>
      <w:bookmarkEnd w:id="428"/>
      <w:r>
        <w:rPr>
          <w:color w:val="000000"/>
        </w:rPr>
        <w:t>(vi)</w:t>
        <w:tab/>
        <w:t>in the case of SOTL, 100% of  SCHL.</w:t>
      </w:r>
    </w:p>
    <w:p>
      <w:pPr>
        <w:pStyle w:val="a"/>
        <w:ind w:hanging="0" w:end="0"/>
        <w:rPr>
          <w:color w:val="000000"/>
        </w:rPr>
      </w:pPr>
      <w:bookmarkStart w:id="429" w:name="_DV_M294"/>
      <w:bookmarkEnd w:id="429"/>
      <w:r>
        <w:rPr>
          <w:color w:val="000000"/>
        </w:rPr>
        <w:t>It owns indirectly, beneficially, and of record the following percentages in the capital stock or other equity interest (as the case may be) of the following entities:</w:t>
      </w:r>
    </w:p>
    <w:p>
      <w:pPr>
        <w:pStyle w:val="BodyText"/>
        <w:ind w:hanging="720" w:start="1440" w:end="0"/>
        <w:rPr>
          <w:color w:val="000000"/>
        </w:rPr>
      </w:pPr>
      <w:bookmarkStart w:id="430" w:name="_DV_M295"/>
      <w:bookmarkEnd w:id="430"/>
      <w:r>
        <w:rPr>
          <w:color w:val="000000"/>
        </w:rPr>
        <w:t>(i)</w:t>
        <w:tab/>
        <w:t>in the case of SOTL, ___% of  EPE, and ___% of GasMat; and</w:t>
      </w:r>
    </w:p>
    <w:p>
      <w:pPr>
        <w:pStyle w:val="BodyText"/>
        <w:ind w:hanging="720" w:start="1440" w:end="0"/>
        <w:rPr>
          <w:color w:val="000000"/>
        </w:rPr>
      </w:pPr>
      <w:bookmarkStart w:id="431" w:name="_DV_M296"/>
      <w:bookmarkEnd w:id="431"/>
      <w:r>
        <w:rPr>
          <w:color w:val="000000"/>
        </w:rPr>
        <w:t xml:space="preserve">(ii) </w:t>
        <w:tab/>
        <w:t xml:space="preserve">in the case of Enron Corp., ___% of  EPE, ___% of GasBol, ___% of GasMat, [100%] of EIBH and [100%] of EBPH.   </w:t>
      </w:r>
    </w:p>
    <w:p>
      <w:pPr>
        <w:pStyle w:val="BodyText"/>
        <w:ind w:start="720" w:end="0"/>
        <w:rPr>
          <w:color w:val="000000"/>
        </w:rPr>
      </w:pPr>
      <w:bookmarkStart w:id="432" w:name="_DV_M297"/>
      <w:bookmarkEnd w:id="432"/>
      <w:r>
        <w:rPr>
          <w:color w:val="000000"/>
        </w:rPr>
        <w:t>For purposes of this clause (g), all ownership interests are to be determined on the basis of Economic Interests.</w:t>
      </w:r>
    </w:p>
    <w:p>
      <w:pPr>
        <w:pStyle w:val="Paragraph2"/>
        <w:widowControl/>
        <w:tabs>
          <w:tab w:val="clear" w:pos="0"/>
          <w:tab w:val="clear" w:pos="1800"/>
          <w:tab w:val="clear" w:pos="1980"/>
          <w:tab w:val="clear" w:pos="2880"/>
          <w:tab w:val="clear" w:pos="3600"/>
          <w:tab w:val="clear" w:pos="4320"/>
          <w:tab w:val="clear" w:pos="5040"/>
          <w:tab w:val="clear" w:pos="5760"/>
          <w:tab w:val="clear" w:pos="6480"/>
          <w:tab w:val="clear" w:pos="7200"/>
          <w:tab w:val="clear" w:pos="7920"/>
          <w:tab w:val="clear" w:pos="9000"/>
          <w:tab w:val="clear" w:pos="9720"/>
          <w:tab w:val="left" w:pos="-1440" w:leader="none"/>
          <w:tab w:val="left" w:pos="-720" w:leader="none"/>
        </w:tabs>
        <w:spacing w:lineRule="exact" w:line="288"/>
        <w:ind w:hanging="810" w:end="0"/>
        <w:jc w:val="both"/>
        <w:rPr>
          <w:rFonts w:ascii="Times New Roman" w:hAnsi="Times New Roman" w:cs="Times New Roman"/>
          <w:color w:val="000000"/>
        </w:rPr>
      </w:pPr>
      <w:bookmarkStart w:id="433" w:name="_DV_M298"/>
      <w:bookmarkEnd w:id="433"/>
      <w:r>
        <w:rPr>
          <w:rFonts w:cs="Times New Roman" w:ascii="Times New Roman" w:hAnsi="Times New Roman"/>
          <w:color w:val="000000"/>
        </w:rPr>
        <w:t>(h)</w:t>
        <w:tab/>
        <w:t>The activities contemplated by the provisions of the Financing Documents are commercial in nature rather than governmental or public, and therefore it acknowledges and agrees that it is not entitled to any right of immunity on the grounds of sovereignty or otherwise with respect to such activities or in any legal action or proceeding arising out of or relating to the Financing Documents.  Each Shareholder and each Sponsor in respect of itself, its process agents, and its properties and revenues, expressly and irrevocably waives any such right of immunity which may now or hereafter exist (including any immunity from any legal process, from the jurisdiction of any court or from any execution or attachment in aid of execution prior to judgment or otherwise) or claim thereto which may now or hereafter exist, and agrees not to assert any such right or claim in any such action or proceeding, whether in the United States or otherwise.  The foregoing waiver of immunity shall have effect under the United States Foreign Sovereign Immunities Act of 1976.</w:t>
      </w:r>
    </w:p>
    <w:p>
      <w:pPr>
        <w:pStyle w:val="Paragraph2"/>
        <w:widowControl/>
        <w:tabs>
          <w:tab w:val="clear" w:pos="0"/>
          <w:tab w:val="clear" w:pos="1800"/>
          <w:tab w:val="clear" w:pos="1980"/>
          <w:tab w:val="clear" w:pos="2880"/>
          <w:tab w:val="clear" w:pos="3600"/>
          <w:tab w:val="clear" w:pos="4320"/>
          <w:tab w:val="clear" w:pos="5040"/>
          <w:tab w:val="clear" w:pos="5760"/>
          <w:tab w:val="clear" w:pos="6480"/>
          <w:tab w:val="clear" w:pos="7200"/>
          <w:tab w:val="clear" w:pos="7920"/>
          <w:tab w:val="clear" w:pos="9000"/>
          <w:tab w:val="clear" w:pos="9720"/>
          <w:tab w:val="left" w:pos="-1440" w:leader="none"/>
          <w:tab w:val="left" w:pos="-720" w:leader="none"/>
        </w:tabs>
        <w:spacing w:lineRule="exact" w:line="288"/>
        <w:ind w:hanging="810" w:end="0"/>
        <w:jc w:val="both"/>
        <w:rPr>
          <w:rFonts w:ascii="Times New Roman" w:hAnsi="Times New Roman" w:cs="Times New Roman"/>
          <w:color w:val="000000"/>
        </w:rPr>
      </w:pPr>
      <w:bookmarkStart w:id="434" w:name="_DV_M299"/>
      <w:bookmarkEnd w:id="434"/>
      <w:r>
        <w:rPr>
          <w:rFonts w:cs="Times New Roman" w:ascii="Times New Roman" w:hAnsi="Times New Roman"/>
          <w:color w:val="000000"/>
        </w:rPr>
        <w:t>(i)</w:t>
        <w:tab/>
        <w:t xml:space="preserve">No action, suit, other legal proceeding, arbitral proceeding, or investigation is pending by or before any domestic or foreign court or Governmental Authority or in any arbitral or other forum and as to which such Shareholder or Sponsor has been served with process, or, to the actual knowledge of an Authorized Representative of such Shareholder or Sponsor (as the case may  be), is threatened in writing, against it or any of its properties or rights that  (A) relates to this Agreement or, to the best of such Shareholder’s or Sponsor’s knowledge, any other Operative Document to which it is a party or (B) has, or could reasonably be expected to have, a Material Adverse Effect, except in the case of each Sponsor, other than as previously disclosed in writing to the Lenders and, in the case of Enron Corp., other than as disclosed in Enron Corp.'s 10-K for the twelve months ended December 31, 1998, 10-Q for the three months ended March 31, 1999, and 10-Q for the three months ended June 30, 1999.  </w:t>
      </w:r>
    </w:p>
    <w:p>
      <w:pPr>
        <w:pStyle w:val="Paragraph2"/>
        <w:widowControl/>
        <w:tabs>
          <w:tab w:val="clear" w:pos="0"/>
          <w:tab w:val="clear" w:pos="1800"/>
          <w:tab w:val="clear" w:pos="1980"/>
          <w:tab w:val="clear" w:pos="2880"/>
          <w:tab w:val="clear" w:pos="3600"/>
          <w:tab w:val="clear" w:pos="4320"/>
          <w:tab w:val="clear" w:pos="5040"/>
          <w:tab w:val="clear" w:pos="5760"/>
          <w:tab w:val="clear" w:pos="6480"/>
          <w:tab w:val="clear" w:pos="7200"/>
          <w:tab w:val="clear" w:pos="7920"/>
          <w:tab w:val="clear" w:pos="9000"/>
          <w:tab w:val="clear" w:pos="9720"/>
          <w:tab w:val="left" w:pos="-1440" w:leader="none"/>
          <w:tab w:val="left" w:pos="-720" w:leader="none"/>
        </w:tabs>
        <w:spacing w:lineRule="exact" w:line="288"/>
        <w:ind w:hanging="720" w:end="0"/>
        <w:jc w:val="both"/>
        <w:rPr>
          <w:rFonts w:ascii="Times New Roman" w:hAnsi="Times New Roman" w:cs="Times New Roman"/>
          <w:color w:val="000000"/>
        </w:rPr>
      </w:pPr>
      <w:bookmarkStart w:id="435" w:name="_DV_M300"/>
      <w:bookmarkEnd w:id="435"/>
      <w:r>
        <w:rPr>
          <w:rFonts w:cs="Times New Roman" w:ascii="Times New Roman" w:hAnsi="Times New Roman"/>
          <w:color w:val="000000"/>
        </w:rPr>
        <w:t xml:space="preserve">(j)  </w:t>
        <w:tab/>
        <w:t>As of the date hereof its obligations under this Agreement are not subject to any offsets or defenses of any kind against the Common Agent, any Secured Party, any Shareholder, or any Borrower.</w:t>
      </w:r>
    </w:p>
    <w:p>
      <w:pPr>
        <w:pStyle w:val="Normal"/>
        <w:spacing w:lineRule="exact" w:line="288" w:before="0" w:after="288"/>
        <w:ind w:hanging="720" w:start="720" w:end="0"/>
        <w:jc w:val="both"/>
        <w:rPr>
          <w:color w:val="000000"/>
        </w:rPr>
      </w:pPr>
      <w:bookmarkStart w:id="436" w:name="_DV_M301"/>
      <w:bookmarkEnd w:id="436"/>
      <w:r>
        <w:rPr>
          <w:color w:val="000000"/>
        </w:rPr>
        <w:t>(k)</w:t>
        <w:tab/>
        <w:t>In the case of each Sponsor, the unaudited consolidated balance sheet of such Sponsor and its consolidated Subsidiaries as of June 30, 1999 (except that in the case of SOTL, such balance sheet may not be consolidated) and the related unaudited consolidated statements of income, cash flows and changes in stockholders’ equity accounts for the fiscal quarter then ended, copies of which have been delivered to each of the Lenders, fairly present, in conformity with GAAP except as otherwise expressly noted therein, the consolidated financial position of such Sponsor and its consolidated Subsidiaries as of such date and their consolidated results of operations and changes in financial position for such fiscal period.  Since June 30, 1999, there has been no material adverse change in the business, consolidated financial position,  consolidated results of operations, or prospects of the Sponsor and its consolidated Subsidiaries, considered as a whole.</w:t>
      </w:r>
    </w:p>
    <w:p>
      <w:pPr>
        <w:pStyle w:val="Normal"/>
        <w:spacing w:lineRule="exact" w:line="288" w:before="0" w:after="288"/>
        <w:ind w:hanging="720" w:start="720" w:end="0"/>
        <w:jc w:val="both"/>
        <w:rPr>
          <w:color w:val="000000"/>
        </w:rPr>
      </w:pPr>
      <w:bookmarkStart w:id="437" w:name="_DV_M302"/>
      <w:bookmarkEnd w:id="437"/>
      <w:r>
        <w:rPr>
          <w:color w:val="000000"/>
        </w:rPr>
        <w:t>(l)</w:t>
        <w:tab/>
        <w:t>In the case of each Sponsor and each Shareholder, it has filed or caused to be filed all United States federal income tax returns and all other material domestic tax returns which to the best of its knowledge are required to be filed by it and has paid or provided for the payment, before the same become delinquent, of all taxes due pursuant to such returns or pursuant to any assessment received by it, other than those taxes contested in good faith by appropriate proceedings.  The charges, accruals, and reserves on the books of such Sponsor or Shareholder (as the case may be) in respect of taxes are, in the opinion of such Sponsor or Shareholder, adequate to the extent required by GAAP.</w:t>
      </w:r>
    </w:p>
    <w:p>
      <w:pPr>
        <w:pStyle w:val="Normal"/>
        <w:spacing w:lineRule="exact" w:line="288" w:before="0" w:after="288"/>
        <w:ind w:hanging="720" w:start="720" w:end="0"/>
        <w:jc w:val="both"/>
        <w:rPr>
          <w:color w:val="000000"/>
        </w:rPr>
      </w:pPr>
      <w:bookmarkStart w:id="438" w:name="_DV_M303"/>
      <w:bookmarkEnd w:id="438"/>
      <w:r>
        <w:rPr>
          <w:color w:val="000000"/>
        </w:rPr>
        <w:t>(m)</w:t>
        <w:tab/>
        <w:t>The Sponsors have delivered to OPIC true and complete copies of all agreements to which such Sponsor or any of its Affiliates is a party relating to the placement or sale of the Certificates of Participation (as defined in the OPIC Funding Agreement) and the financial terms of the Certificates of Participation (as so defined).</w:t>
      </w:r>
    </w:p>
    <w:p>
      <w:pPr>
        <w:pStyle w:val="Heading3"/>
        <w:ind w:hanging="0" w:start="0"/>
        <w:rPr>
          <w:color w:val="000000"/>
        </w:rPr>
      </w:pPr>
      <w:bookmarkStart w:id="439" w:name="__RefHeading___Toc490591578"/>
      <w:bookmarkStart w:id="440" w:name="_DV_M304"/>
      <w:bookmarkEnd w:id="439"/>
      <w:bookmarkEnd w:id="440"/>
      <w:r>
        <w:rPr>
          <w:color w:val="000000"/>
        </w:rPr>
        <w:t>6.2</w:t>
        <w:tab/>
        <w:t>Further Representations and Warranties of Enron Corp.</w:t>
      </w:r>
    </w:p>
    <w:p>
      <w:pPr>
        <w:pStyle w:val="BodyText"/>
        <w:rPr>
          <w:color w:val="000000"/>
        </w:rPr>
      </w:pPr>
      <w:bookmarkStart w:id="441" w:name="_DV_M305"/>
      <w:bookmarkEnd w:id="441"/>
      <w:r>
        <w:rPr>
          <w:color w:val="000000"/>
        </w:rPr>
        <w:t>Enron Corp. hereby further represents and warrants to the Lenders, as follows, which representations and warranties shall survive the execution of the Financing Documents and any expiration or termination of any Commitment:</w:t>
      </w:r>
    </w:p>
    <w:p>
      <w:pPr>
        <w:pStyle w:val="Normal"/>
        <w:spacing w:lineRule="exact" w:line="288" w:before="0" w:after="288"/>
        <w:ind w:hanging="720" w:start="1440" w:end="0"/>
        <w:jc w:val="both"/>
        <w:rPr>
          <w:color w:val="000000"/>
        </w:rPr>
      </w:pPr>
      <w:bookmarkStart w:id="442" w:name="_DV_M306"/>
      <w:bookmarkEnd w:id="442"/>
      <w:r>
        <w:rPr>
          <w:color w:val="000000"/>
        </w:rPr>
        <w:t xml:space="preserve">(i) </w:t>
        <w:tab/>
        <w:t>Such Sponsor and its officers, directors, employees, and agents have complied with any and all applicable Corrupt Practices Laws in obtaining any consents, licenses, approvals, authorizations, rights, or privileges in respect of the Project.</w:t>
      </w:r>
    </w:p>
    <w:p>
      <w:pPr>
        <w:pStyle w:val="Normal"/>
        <w:spacing w:lineRule="exact" w:line="288" w:before="0" w:after="288"/>
        <w:ind w:hanging="720" w:start="1440" w:end="0"/>
        <w:jc w:val="both"/>
        <w:rPr>
          <w:color w:val="000000"/>
        </w:rPr>
      </w:pPr>
      <w:bookmarkStart w:id="443" w:name="_DV_M307"/>
      <w:bookmarkEnd w:id="443"/>
      <w:r>
        <w:rPr>
          <w:color w:val="000000"/>
        </w:rPr>
        <w:t>(ii)</w:t>
        <w:tab/>
        <w:t>The Borrowers are otherwise conducting the Project and its business in compliance with all applicable Corrupt Practices Laws.</w:t>
      </w:r>
    </w:p>
    <w:p>
      <w:pPr>
        <w:pStyle w:val="2indents"/>
        <w:spacing w:lineRule="exact" w:line="288" w:before="0" w:after="288"/>
        <w:rPr>
          <w:rFonts w:ascii="Times New Roman" w:hAnsi="Times New Roman" w:cs="Times New Roman"/>
          <w:b/>
          <w:bCs/>
          <w:color w:val="000000"/>
          <w:sz w:val="24"/>
          <w:szCs w:val="24"/>
          <w:lang w:val="en-US"/>
        </w:rPr>
      </w:pPr>
      <w:bookmarkStart w:id="444" w:name="_DV_M308"/>
      <w:bookmarkEnd w:id="444"/>
      <w:r>
        <w:rPr>
          <w:rFonts w:cs="Times New Roman" w:ascii="Times New Roman" w:hAnsi="Times New Roman"/>
          <w:color w:val="000000"/>
          <w:sz w:val="24"/>
          <w:szCs w:val="24"/>
          <w:lang w:val="en-US"/>
        </w:rPr>
        <w:t>(iii)</w:t>
        <w:tab/>
        <w:t>The internal management and accounting practices and controls of such Sponsor are adequate to meet the requirements of compliance with any and all applicable Corrupt Practices Laws.</w:t>
      </w:r>
    </w:p>
    <w:p>
      <w:pPr>
        <w:pStyle w:val="Heading3"/>
        <w:ind w:hanging="0" w:start="0"/>
        <w:rPr>
          <w:color w:val="000000"/>
        </w:rPr>
      </w:pPr>
      <w:bookmarkStart w:id="445" w:name="__RefHeading___Toc490591579"/>
      <w:bookmarkStart w:id="446" w:name="_DV_M309"/>
      <w:bookmarkEnd w:id="445"/>
      <w:bookmarkEnd w:id="446"/>
      <w:r>
        <w:rPr>
          <w:color w:val="000000"/>
        </w:rPr>
        <w:t>6.3</w:t>
        <w:tab/>
        <w:t>Further Representations and Warranties of SOTL.</w:t>
      </w:r>
    </w:p>
    <w:p>
      <w:pPr>
        <w:pStyle w:val="BodyText"/>
        <w:rPr>
          <w:color w:val="000000"/>
        </w:rPr>
      </w:pPr>
      <w:bookmarkStart w:id="447" w:name="_DV_M310"/>
      <w:bookmarkEnd w:id="447"/>
      <w:r>
        <w:rPr>
          <w:color w:val="000000"/>
        </w:rPr>
        <w:t>SOTL hereby further represents and warrants to the Lenders, as follows, which representations and warranties shall survive the execution of the Financing Documents and any expiration or termination of any Commitment:</w:t>
      </w:r>
    </w:p>
    <w:p>
      <w:pPr>
        <w:pStyle w:val="Normal"/>
        <w:spacing w:lineRule="exact" w:line="288" w:before="0" w:after="288"/>
        <w:ind w:hanging="720" w:start="1440" w:end="0"/>
        <w:jc w:val="both"/>
        <w:rPr>
          <w:color w:val="000000"/>
        </w:rPr>
      </w:pPr>
      <w:bookmarkStart w:id="448" w:name="_DV_M311"/>
      <w:bookmarkEnd w:id="448"/>
      <w:r>
        <w:rPr>
          <w:color w:val="000000"/>
        </w:rPr>
        <w:t xml:space="preserve">(i) </w:t>
        <w:tab/>
        <w:t>Such Sponsor and its officers, directors, employees, and agents have complied with any and all applicable Corrupt Practices Laws in obtaining any consents, licenses, approvals, authorizations, rights, or privileges in respect of the Project.</w:t>
      </w:r>
    </w:p>
    <w:p>
      <w:pPr>
        <w:pStyle w:val="Normal"/>
        <w:spacing w:lineRule="exact" w:line="288" w:before="0" w:after="288"/>
        <w:ind w:hanging="720" w:start="1440" w:end="0"/>
        <w:jc w:val="both"/>
        <w:rPr>
          <w:b/>
          <w:bCs/>
          <w:color w:val="000000"/>
        </w:rPr>
      </w:pPr>
      <w:bookmarkStart w:id="449" w:name="_DV_M312"/>
      <w:bookmarkEnd w:id="449"/>
      <w:r>
        <w:rPr>
          <w:color w:val="000000"/>
        </w:rPr>
        <w:t>(ii)</w:t>
        <w:tab/>
        <w:t>The internal management and accounting practices and controls of such Sponsor are adequate to meet the requirements of compliance with any and all applicable Corrupt Practices Laws.</w:t>
      </w:r>
    </w:p>
    <w:p>
      <w:pPr>
        <w:pStyle w:val="Heading2"/>
        <w:ind w:hanging="0" w:start="0"/>
        <w:rPr>
          <w:color w:val="000000"/>
        </w:rPr>
      </w:pPr>
      <w:bookmarkStart w:id="450" w:name="__RefHeading___Toc490591580"/>
      <w:bookmarkStart w:id="451" w:name="_DV_M313"/>
      <w:bookmarkEnd w:id="450"/>
      <w:bookmarkEnd w:id="451"/>
      <w:r>
        <w:rPr>
          <w:color w:val="000000"/>
        </w:rPr>
        <w:t>ARTICLE 7.   Covenants</w:t>
      </w:r>
    </w:p>
    <w:p>
      <w:pPr>
        <w:pStyle w:val="Heading3"/>
        <w:ind w:hanging="0" w:start="0"/>
        <w:rPr>
          <w:color w:val="000000"/>
        </w:rPr>
      </w:pPr>
      <w:bookmarkStart w:id="452" w:name="__RefHeading___Toc490591581"/>
      <w:bookmarkStart w:id="453" w:name="_DV_M314"/>
      <w:bookmarkEnd w:id="453"/>
      <w:r>
        <w:rPr>
          <w:color w:val="000000"/>
        </w:rPr>
        <w:t>7.1</w:t>
        <w:tab/>
        <w:t>Covenants of the Sponsors and Shareholders.</w:t>
      </w:r>
      <w:bookmarkStart w:id="454" w:name="_DV_M315"/>
      <w:bookmarkEnd w:id="452"/>
      <w:bookmarkEnd w:id="454"/>
      <w:r>
        <w:rPr>
          <w:rStyle w:val="FootnoteCharacters"/>
          <w:color w:val="000000"/>
          <w:sz w:val="24"/>
        </w:rPr>
        <w:t xml:space="preserve"> </w:t>
      </w:r>
    </w:p>
    <w:p>
      <w:pPr>
        <w:pStyle w:val="BodyText"/>
        <w:rPr>
          <w:color w:val="000000"/>
        </w:rPr>
      </w:pPr>
      <w:bookmarkStart w:id="455" w:name="_DV_M316"/>
      <w:bookmarkEnd w:id="455"/>
      <w:r>
        <w:rPr>
          <w:color w:val="000000"/>
        </w:rPr>
        <w:t>Until the Project Completion Date, subject to Section 10.2, each Shareholder and each Sponsor covenants and agrees with the Secured Parties that:</w:t>
      </w:r>
    </w:p>
    <w:p>
      <w:pPr>
        <w:pStyle w:val="a"/>
        <w:rPr/>
      </w:pPr>
      <w:bookmarkStart w:id="456" w:name="_DV_M317"/>
      <w:bookmarkEnd w:id="456"/>
      <w:r>
        <w:rPr>
          <w:color w:val="000000"/>
        </w:rPr>
        <w:t>(a)</w:t>
        <w:tab/>
        <w:t xml:space="preserve">It will do or cause to be done all things necessary to preserve, renew, and keep in full force and effect its legal existence and the rights, licenses, permits, privileges, and franchises material to the conduct of its business, except where failure to do so could not reasonably be expected to have a material adverse effect on the performance of its obligations under this Agreement; </w:t>
      </w:r>
      <w:r>
        <w:rPr>
          <w:b/>
          <w:bCs/>
          <w:i/>
          <w:iCs/>
          <w:color w:val="000000"/>
        </w:rPr>
        <w:t>provided, however,</w:t>
      </w:r>
      <w:r>
        <w:rPr>
          <w:color w:val="000000"/>
        </w:rPr>
        <w:t xml:space="preserve"> that this Section 7.1(a) shall not apply to any merger or consolidation to which such Shareholder or Sponsor is a party if the surviving Person thereof, if not such Shareholder or Sponsor, assumes all the obligations of such Shareholder or Sponsor under this Agreement and (in the case of a merger or consolidation of Enron Corp.) after giving effect to such merger or consolidation, the surviving Person is organized under the laws of the United States of America.</w:t>
      </w:r>
    </w:p>
    <w:p>
      <w:pPr>
        <w:pStyle w:val="a"/>
        <w:spacing w:lineRule="exact" w:line="288" w:before="0" w:after="288"/>
        <w:rPr>
          <w:color w:val="000000"/>
        </w:rPr>
      </w:pPr>
      <w:bookmarkStart w:id="457" w:name="_DV_M318"/>
      <w:bookmarkEnd w:id="457"/>
      <w:r>
        <w:rPr>
          <w:color w:val="000000"/>
        </w:rPr>
        <w:t>(b)</w:t>
        <w:tab/>
        <w:t>It will comply in all respects with the requirements of all Applicable Laws, except where the failure to comply could not reasonably be expected to have a material adverse effect on its ability to perform its obligations hereunder.</w:t>
      </w:r>
    </w:p>
    <w:p>
      <w:pPr>
        <w:pStyle w:val="Normal"/>
        <w:spacing w:lineRule="exact" w:line="288" w:before="0" w:after="288"/>
        <w:ind w:hanging="720" w:start="720" w:end="0"/>
        <w:jc w:val="both"/>
        <w:rPr>
          <w:color w:val="000000"/>
        </w:rPr>
      </w:pPr>
      <w:bookmarkStart w:id="458" w:name="_DV_M319"/>
      <w:bookmarkEnd w:id="458"/>
      <w:r>
        <w:rPr>
          <w:color w:val="000000"/>
        </w:rPr>
        <w:t xml:space="preserve">(c) </w:t>
        <w:tab/>
        <w:t>For as long as any Commitments are outstanding or any amounts remain outstanding under any Advance,  with respect to the Project, it shall comply, with all applicable Corrupt Practice Laws, and shall implement internal management and accounting practices and controls adequate to meet the requirements of compliance with applicable Corrupt Practice Laws.</w:t>
      </w:r>
    </w:p>
    <w:p>
      <w:pPr>
        <w:pStyle w:val="Normal"/>
        <w:spacing w:lineRule="exact" w:line="288" w:before="0" w:after="288"/>
        <w:ind w:hanging="720" w:start="720" w:end="0"/>
        <w:jc w:val="both"/>
        <w:rPr>
          <w:color w:val="000000"/>
        </w:rPr>
      </w:pPr>
      <w:bookmarkStart w:id="459" w:name="_DV_M320"/>
      <w:bookmarkEnd w:id="459"/>
      <w:r>
        <w:rPr>
          <w:color w:val="000000"/>
        </w:rPr>
        <w:t>(d)</w:t>
        <w:tab/>
        <w:t xml:space="preserve">It will not and will not permit any of its Affiliates to, commence or join with any other party in commencing any bankruptcy, reorganization, or insolvency proceedings of or against any Borrower or any Shareholder.  It will pay over to the Common Agent any amounts received by it in any bankruptcy, reorganization, or other insolvency proceeding of any Borrower.  </w:t>
      </w:r>
    </w:p>
    <w:p>
      <w:pPr>
        <w:pStyle w:val="Normal"/>
        <w:spacing w:lineRule="exact" w:line="288" w:before="0" w:after="288"/>
        <w:ind w:hanging="720" w:start="720" w:end="0"/>
        <w:jc w:val="both"/>
        <w:rPr>
          <w:b/>
          <w:bCs/>
          <w:color w:val="000000"/>
        </w:rPr>
      </w:pPr>
      <w:bookmarkStart w:id="460" w:name="_DV_M321"/>
      <w:bookmarkEnd w:id="460"/>
      <w:r>
        <w:rPr>
          <w:rFonts w:eastAsia="Times New Roman"/>
          <w:color w:val="000000"/>
        </w:rPr>
        <w:t xml:space="preserve"> </w:t>
      </w:r>
      <w:r>
        <w:rPr>
          <w:color w:val="000000"/>
        </w:rPr>
        <w:t xml:space="preserve">(e) </w:t>
        <w:tab/>
        <w:t>Each Shareholder and each Sponsor agrees that it shall, and shall cause its Affiliates to agree, not to ask, demand, sue for, take, or receive from any Borrower, directly or indirectly, in cash or other property or by set-off, purchase, acquisition, or redemption or in any other manner any Restricted Payment not permitted by the terms of the Financing Documents.  In the event that, notwithstanding the provisions of this clause (e), any Borrower shall make, or any Shareholder,  Sponsor, or any Affiliate thereof shall receive, any Restricted Payment prohibited by the Financing Documents, then and in any such event such payment shall be deemed to be the property of, segregated, received, and held in trust for the benefit of such Borrower and such Shareholder, or Sponsor (as the case may be) shall cause such payment to be immediately paid over and delivered to the Common Agent in the same form as so received (with any necessary endorsement) to be held, applied, and released in accordance with the Common Agreement.</w:t>
      </w:r>
    </w:p>
    <w:p>
      <w:pPr>
        <w:pStyle w:val="a"/>
        <w:rPr>
          <w:color w:val="000000"/>
        </w:rPr>
      </w:pPr>
      <w:bookmarkStart w:id="461" w:name="_DV_M322"/>
      <w:bookmarkEnd w:id="461"/>
      <w:r>
        <w:rPr>
          <w:color w:val="000000"/>
        </w:rPr>
        <w:t xml:space="preserve">(f) </w:t>
        <w:tab/>
        <w:t>Each Shareholder and each Sponsor covenants that it shall cause any of its Affiliates which from time to time may become a creditor or other obligee of any Borrower (otherwise than in respect of obligations which would not constitute Subordinated Debt) to become a party to and comply with the Subordination Agreement.</w:t>
      </w:r>
    </w:p>
    <w:p>
      <w:pPr>
        <w:pStyle w:val="a"/>
        <w:rPr>
          <w:color w:val="000000"/>
        </w:rPr>
      </w:pPr>
      <w:bookmarkStart w:id="462" w:name="_DV_M323"/>
      <w:bookmarkEnd w:id="462"/>
      <w:r>
        <w:rPr>
          <w:color w:val="000000"/>
        </w:rPr>
        <w:t>(g)</w:t>
        <w:tab/>
        <w:t>Each Shareholder agrees not to vote or to cause to be voted any of the shares of any Borrower presently held by it, or any other shares that it may directly or indirectly acquire or control in the future, in such manner, and take or cause to be taken any action, corporate or otherwise, that is inconsistent with the provisions of this Agreement, including, without limitation, achievement of Project Completion.</w:t>
      </w:r>
    </w:p>
    <w:p>
      <w:pPr>
        <w:pStyle w:val="a"/>
        <w:rPr>
          <w:color w:val="000000"/>
        </w:rPr>
      </w:pPr>
      <w:bookmarkStart w:id="463" w:name="_DV_M324"/>
      <w:bookmarkEnd w:id="463"/>
      <w:r>
        <w:rPr>
          <w:color w:val="000000"/>
        </w:rPr>
        <w:t>(h)</w:t>
        <w:tab/>
        <w:t>Each Sponsor shall furnish to the Lenders from time to time such other statements and information relating to the Project as a Lender may reasonably request.</w:t>
      </w:r>
    </w:p>
    <w:p>
      <w:pPr>
        <w:pStyle w:val="Heading3"/>
        <w:ind w:hanging="0" w:start="0"/>
        <w:rPr>
          <w:color w:val="000000"/>
        </w:rPr>
      </w:pPr>
      <w:bookmarkStart w:id="464" w:name="__RefHeading___Toc490591582"/>
      <w:bookmarkStart w:id="465" w:name="_DV_M325"/>
      <w:bookmarkEnd w:id="465"/>
      <w:r>
        <w:rPr>
          <w:color w:val="000000"/>
        </w:rPr>
        <w:t>7.2</w:t>
        <w:tab/>
        <w:t>Transfer Restrictions; Financial Statements.</w:t>
      </w:r>
      <w:bookmarkStart w:id="466" w:name="_DV_M326"/>
      <w:bookmarkEnd w:id="464"/>
      <w:bookmarkEnd w:id="466"/>
      <w:r>
        <w:rPr>
          <w:rStyle w:val="FootnoteCharacters"/>
          <w:color w:val="000000"/>
          <w:sz w:val="24"/>
        </w:rPr>
        <w:t xml:space="preserve"> </w:t>
      </w:r>
    </w:p>
    <w:p>
      <w:pPr>
        <w:pStyle w:val="BodyText"/>
        <w:rPr>
          <w:color w:val="000000"/>
        </w:rPr>
      </w:pPr>
      <w:bookmarkStart w:id="467" w:name="_DV_M327"/>
      <w:bookmarkEnd w:id="467"/>
      <w:r>
        <w:rPr>
          <w:color w:val="000000"/>
        </w:rPr>
        <w:t>Until the date that all Secured Obligations have been indefeasibly paid in full and all Commitments have been terminated, subject to Section 10.2, each Shareholder and each Sponsor,  covenants and agrees with the Secured Parties that:</w:t>
      </w:r>
    </w:p>
    <w:p>
      <w:pPr>
        <w:pStyle w:val="Normal"/>
        <w:spacing w:lineRule="exact" w:line="288" w:before="0" w:after="288"/>
        <w:ind w:hanging="720" w:start="720" w:end="0"/>
        <w:jc w:val="both"/>
        <w:rPr/>
      </w:pPr>
      <w:bookmarkStart w:id="468" w:name="_DV_M328"/>
      <w:bookmarkEnd w:id="468"/>
      <w:r>
        <w:rPr>
          <w:color w:val="000000"/>
        </w:rPr>
        <w:t>(a)</w:t>
        <w:tab/>
        <w:t xml:space="preserve">It will not, and it will not permit any of its Subsidiaries having any direct or indirect interest in any Borrower to, sell, transfer, lease, pledge, grant options to purchase, or otherwise dispose of (in one transaction or a series of transactions) (a </w:t>
      </w:r>
      <w:r>
        <w:rPr>
          <w:b/>
          <w:bCs/>
          <w:i/>
          <w:iCs/>
          <w:color w:val="000000"/>
        </w:rPr>
        <w:t>Transfer</w:t>
      </w:r>
      <w:r>
        <w:rPr>
          <w:i/>
          <w:iCs/>
          <w:color w:val="000000"/>
        </w:rPr>
        <w:t>)</w:t>
      </w:r>
      <w:r>
        <w:rPr>
          <w:color w:val="000000"/>
        </w:rPr>
        <w:t xml:space="preserve"> any of its direct or indirect equity interest in any Borrower (including, without limitation, by transferring any interest in any Shareholder or any such Subsidiary), except (each such Transfer, a </w:t>
      </w:r>
      <w:r>
        <w:rPr>
          <w:b/>
          <w:bCs/>
          <w:i/>
          <w:iCs/>
          <w:color w:val="000000"/>
        </w:rPr>
        <w:t xml:space="preserve">Permitted Transfer </w:t>
      </w:r>
      <w:r>
        <w:rPr>
          <w:color w:val="000000"/>
        </w:rPr>
        <w:t>):</w:t>
      </w:r>
    </w:p>
    <w:p>
      <w:pPr>
        <w:pStyle w:val="a"/>
        <w:ind w:start="1440" w:end="0"/>
        <w:rPr>
          <w:color w:val="000000"/>
        </w:rPr>
      </w:pPr>
      <w:bookmarkStart w:id="469" w:name="_DV_M329"/>
      <w:bookmarkEnd w:id="469"/>
      <w:r>
        <w:rPr>
          <w:color w:val="000000"/>
        </w:rPr>
        <w:t xml:space="preserve">(i) </w:t>
        <w:tab/>
        <w:t xml:space="preserve">any Transfer to a wholly-owned Subsidiary of such Shareholder or Sponsor that is necessary in the opinion of the Lenders to create or perfect any Lien in favor of the Common Agent or the Secured Parties or in connection with the exercise by any Secured Party of its remedies as a Secured Party, </w:t>
      </w:r>
    </w:p>
    <w:p>
      <w:pPr>
        <w:pStyle w:val="a"/>
        <w:ind w:start="1440" w:end="0"/>
        <w:rPr>
          <w:color w:val="000000"/>
        </w:rPr>
      </w:pPr>
      <w:bookmarkStart w:id="470" w:name="_DV_M330"/>
      <w:bookmarkEnd w:id="470"/>
      <w:r>
        <w:rPr>
          <w:color w:val="000000"/>
        </w:rPr>
        <w:t xml:space="preserve">(ii) </w:t>
        <w:tab/>
        <w:t xml:space="preserve">any Permitted Third Party Transfer, </w:t>
      </w:r>
    </w:p>
    <w:p>
      <w:pPr>
        <w:pStyle w:val="a"/>
        <w:ind w:start="1440" w:end="0"/>
        <w:rPr>
          <w:color w:val="000000"/>
        </w:rPr>
      </w:pPr>
      <w:bookmarkStart w:id="471" w:name="_DV_M331"/>
      <w:bookmarkEnd w:id="471"/>
      <w:r>
        <w:rPr>
          <w:color w:val="000000"/>
        </w:rPr>
        <w:t xml:space="preserve">(iii) </w:t>
        <w:tab/>
        <w:t>any Transfer made with the prior written consent of the Required Lenders, or</w:t>
      </w:r>
    </w:p>
    <w:p>
      <w:pPr>
        <w:pStyle w:val="a"/>
        <w:ind w:start="1440" w:end="0"/>
        <w:rPr/>
      </w:pPr>
      <w:bookmarkStart w:id="472" w:name="_DV_M332"/>
      <w:bookmarkEnd w:id="472"/>
      <w:r>
        <w:rPr>
          <w:color w:val="000000"/>
        </w:rPr>
        <w:t xml:space="preserve">(iv) </w:t>
        <w:tab/>
        <w:t>any Transfer by a Sponsor, a wholly-owned Subsidiary of such Sponsor (or, in the case of SOTL, a Subsidiary wholly-owned by either, or jointly by both, N.V. Koninklijke Nederlandsche Petroleum Maatschappij or The "Shell" Transportation and Trading Company p.l.c.) to such Sponsor or a wholly-owned Subsidiary of such Sponsor (or in the case of SOTL, a Subsidiary wholly-owned by either, or jointly by both, N.V. Koninklijke Nederlandsche Petroleum Maatschappij and The "Shell" Transportation and Trading Company p.l.c.) that is organized under the laws of any state of the United States, of Canada or any province thereof, or of the Cayman Islands, Barbados, Bermuda, The Netherlands or England;</w:t>
      </w:r>
      <w:r>
        <w:rPr>
          <w:b/>
          <w:bCs/>
          <w:i/>
          <w:iCs/>
          <w:color w:val="000000"/>
        </w:rPr>
        <w:t xml:space="preserve"> provided</w:t>
      </w:r>
      <w:r>
        <w:rPr>
          <w:color w:val="000000"/>
        </w:rPr>
        <w:t xml:space="preserve"> that the Lenders shall have received a legal opinion in form and substance reasonably satisfactory to the Lenders from counsel in such jurisdiction. </w:t>
      </w:r>
    </w:p>
    <w:p>
      <w:pPr>
        <w:pStyle w:val="BodyText"/>
        <w:ind w:start="720" w:end="0"/>
        <w:rPr>
          <w:color w:val="000000"/>
        </w:rPr>
      </w:pPr>
      <w:bookmarkStart w:id="473" w:name="_DV_M333"/>
      <w:bookmarkEnd w:id="473"/>
      <w:r>
        <w:rPr>
          <w:color w:val="000000"/>
        </w:rPr>
        <w:t>As a condition to any such Permitted Transfer by a Shareholder, the Lien created pursuant to the relevant Security Documents shall continue unimpaired following such Transfer and the transferee shall sign all desirable agreements and instruments and take all other action necessary or desirable  to create and perfect a first priority Lien in favor of the Secured Parties on the equity interests and/or or loan that is the subject of such transfer.  In connection with any proposed Transfer (a) each Lender shall be entitled to receive such information, including, sponsor disclosure forms, with respect to the identity of the proposed transferee and the ultimate beneficial ownership and control of the affected Borrower as it may reasonably request in order to make an informed determination as to whether the transferee is a Permitted Investor, (b) each proposed Permitted Transferee shall agree to become a party to this Agreement pursuant to an instrument in form and substance satisfactory to the Lenders, and (c) unless otherwise agreed by the Required Lenders, the relevant Sponsor, and at the time of any Permitted Transfer, shall confirm to the Common Agent for the benefit of the Secured Parties in writing that it shall, remain liable for all of its obligations under the Financing Documents to which it is a party notwithstanding any Permitted Transfer.</w:t>
      </w:r>
    </w:p>
    <w:p>
      <w:pPr>
        <w:pStyle w:val="a"/>
        <w:rPr>
          <w:color w:val="000000"/>
        </w:rPr>
      </w:pPr>
      <w:bookmarkStart w:id="474" w:name="_DV_M334"/>
      <w:bookmarkEnd w:id="474"/>
      <w:r>
        <w:rPr>
          <w:color w:val="000000"/>
        </w:rPr>
        <w:t>(b)</w:t>
        <w:tab/>
        <w:t>Unless otherwise publicly available, each Sponsor shall furnish to the Lenders on or before the 60th day after the last day of each quarter of each of its fiscal years, an unaudited consolidated balance sheet as at the close of such quarter (except that in the case of SOTL, such balance sheet may be unconsolidated) and its unaudited income statement and unaudited statement of changes in financial position for such quarter, prepared in accordance with GAAP, certified by its chief financial officer as being complete and correct and fairly presenting the consolidated financial condition of such Sponsor and its consolidated Subsidiaries, as at the last day of such quarter and the results of its operations for such quarter.</w:t>
      </w:r>
    </w:p>
    <w:p>
      <w:pPr>
        <w:pStyle w:val="a"/>
        <w:spacing w:lineRule="exact" w:line="288" w:before="0" w:after="288"/>
        <w:rPr>
          <w:color w:val="000000"/>
        </w:rPr>
      </w:pPr>
      <w:bookmarkStart w:id="475" w:name="_DV_M335"/>
      <w:bookmarkEnd w:id="475"/>
      <w:r>
        <w:rPr>
          <w:color w:val="000000"/>
        </w:rPr>
        <w:t>(c)</w:t>
        <w:tab/>
        <w:t>Unless otherwise publicly available, each Sponsor shall furnish to the Lenders on or before the 120th day after the end of each of its fiscal years, its consolidated  balance sheet as at the close of such fiscal year and its income statement and statement of changes in financial position for such fiscal year, prepared in accordance with GAAP, certified by a firm of internationally recognized independent accountants as fairly presenting the financial condition of such Sponsor as at the close of such fiscal year and the results of its operations for such fiscal year.</w:t>
      </w:r>
    </w:p>
    <w:p>
      <w:pPr>
        <w:pStyle w:val="Heading2"/>
        <w:ind w:hanging="0" w:start="0"/>
        <w:rPr>
          <w:color w:val="000000"/>
        </w:rPr>
      </w:pPr>
      <w:bookmarkStart w:id="476" w:name="__RefHeading___Toc490591583"/>
      <w:bookmarkStart w:id="477" w:name="_DV_M336"/>
      <w:bookmarkEnd w:id="476"/>
      <w:bookmarkEnd w:id="477"/>
      <w:r>
        <w:rPr>
          <w:color w:val="000000"/>
        </w:rPr>
        <w:t>ARTICLE 8.  Release From Obligations.</w:t>
      </w:r>
    </w:p>
    <w:p>
      <w:pPr>
        <w:pStyle w:val="Heading3"/>
        <w:ind w:hanging="0" w:start="0"/>
        <w:rPr>
          <w:color w:val="000000"/>
        </w:rPr>
      </w:pPr>
      <w:bookmarkStart w:id="478" w:name="__RefHeading___Toc490591584"/>
      <w:bookmarkStart w:id="479" w:name="_DV_M337"/>
      <w:bookmarkEnd w:id="478"/>
      <w:bookmarkEnd w:id="479"/>
      <w:r>
        <w:rPr>
          <w:color w:val="000000"/>
        </w:rPr>
        <w:t>Shareholder Transfer and Release from Obligations.</w:t>
      </w:r>
    </w:p>
    <w:p>
      <w:pPr>
        <w:pStyle w:val="BodyText"/>
        <w:rPr>
          <w:color w:val="000000"/>
        </w:rPr>
      </w:pPr>
      <w:bookmarkStart w:id="480" w:name="_DV_M338"/>
      <w:bookmarkEnd w:id="480"/>
      <w:r>
        <w:rPr>
          <w:color w:val="000000"/>
        </w:rPr>
        <w:t>Notwithstanding anything in this Agreement to the contrary, if a Permitted Transfer occurs prior to the Project Completion Date, the Shareholder transferring its equity interest in a Borrower shall be released from a portion of its obligations under this Agreement in an amount equal to the percentage of the equity interest in such Borrower that is being transferred by such Shareholder pursuant to a Permitted Transfer unless such Transfer is to a member of the Cuiabá Investor Group.</w:t>
      </w:r>
    </w:p>
    <w:p>
      <w:pPr>
        <w:pStyle w:val="Heading2"/>
        <w:ind w:hanging="0" w:start="0"/>
        <w:rPr>
          <w:color w:val="000000"/>
        </w:rPr>
      </w:pPr>
      <w:bookmarkStart w:id="481" w:name="__RefHeading___Toc490591585"/>
      <w:bookmarkStart w:id="482" w:name="_DV_M339"/>
      <w:bookmarkEnd w:id="481"/>
      <w:bookmarkEnd w:id="482"/>
      <w:r>
        <w:rPr>
          <w:color w:val="000000"/>
        </w:rPr>
        <w:t>ARTICLE 9.  Consent To Assignment.</w:t>
      </w:r>
    </w:p>
    <w:p>
      <w:pPr>
        <w:pStyle w:val="Heading3"/>
        <w:ind w:hanging="0" w:start="0"/>
        <w:rPr>
          <w:color w:val="000000"/>
        </w:rPr>
      </w:pPr>
      <w:bookmarkStart w:id="483" w:name="__RefHeading___Toc490591586"/>
      <w:bookmarkStart w:id="484" w:name="_DV_M340"/>
      <w:bookmarkEnd w:id="483"/>
      <w:bookmarkEnd w:id="484"/>
      <w:r>
        <w:rPr>
          <w:color w:val="000000"/>
        </w:rPr>
        <w:t>9.1</w:t>
        <w:tab/>
        <w:t>Deposits in Offshore Funding Accounts.</w:t>
      </w:r>
    </w:p>
    <w:p>
      <w:pPr>
        <w:pStyle w:val="BodyText"/>
        <w:rPr>
          <w:color w:val="000000"/>
        </w:rPr>
      </w:pPr>
      <w:bookmarkStart w:id="485" w:name="_DV_M341"/>
      <w:bookmarkEnd w:id="485"/>
      <w:r>
        <w:rPr>
          <w:color w:val="000000"/>
        </w:rPr>
        <w:t>In connection with the assignment by way of security by each Borrower to the Common Agent or the Secured Parties (as the case may be) of all of such Borrower’s  right, title, and interest in, to, and under this Agreement pursuant to the Security Agreement, each Shareholder and Sponsor agrees to and shall pay in Dollars, all amounts that may be due from time to time from such Shareholder or Sponsor to any Borrower under this Agreement, exclusively for deposit directly and without deduction, set-off, or counterclaim (except for amounts paid to the Common Agent pursuant to Section 3.1(f)) in accordance with the Disbursement Agreement.  Any change in the account or in the account information stated in this paragraph shall be notified to the relevant Shareholder or Sponsor by the Common Agent in writing at least five (5) days in advance in accordance with this Agreement.</w:t>
      </w:r>
    </w:p>
    <w:p>
      <w:pPr>
        <w:pStyle w:val="Heading3"/>
        <w:ind w:hanging="0" w:start="0"/>
        <w:rPr>
          <w:color w:val="000000"/>
        </w:rPr>
      </w:pPr>
      <w:bookmarkStart w:id="486" w:name="__RefHeading___Toc490591587"/>
      <w:bookmarkStart w:id="487" w:name="_DV_M342"/>
      <w:bookmarkEnd w:id="486"/>
      <w:bookmarkEnd w:id="487"/>
      <w:r>
        <w:rPr>
          <w:color w:val="000000"/>
        </w:rPr>
        <w:t>9.2</w:t>
        <w:tab/>
        <w:t>Confirmations.</w:t>
      </w:r>
    </w:p>
    <w:p>
      <w:pPr>
        <w:pStyle w:val="BodyText"/>
        <w:rPr>
          <w:color w:val="000000"/>
        </w:rPr>
      </w:pPr>
      <w:bookmarkStart w:id="488" w:name="_DV_M343"/>
      <w:bookmarkEnd w:id="488"/>
      <w:r>
        <w:rPr>
          <w:color w:val="000000"/>
        </w:rPr>
        <w:t>Each Shareholder and Sponsor confirms and agrees, for the benefit of the Borrowers and the Secured Parties, as follows:</w:t>
      </w:r>
    </w:p>
    <w:p>
      <w:pPr>
        <w:pStyle w:val="a"/>
        <w:rPr/>
      </w:pPr>
      <w:bookmarkStart w:id="489" w:name="_DV_M344"/>
      <w:bookmarkEnd w:id="489"/>
      <w:r>
        <w:rPr>
          <w:color w:val="000000"/>
        </w:rPr>
        <w:t>(a)</w:t>
        <w:tab/>
        <w:t>It acknowledges and consents to the collateral assignment pursuant to the Security Documents by the Borrowers of their rights hereunder and to the granting by each Borrower to the Common Agent</w:t>
      </w:r>
      <w:r>
        <w:rPr>
          <w:b/>
          <w:bCs/>
          <w:color w:val="000000"/>
        </w:rPr>
        <w:t xml:space="preserve"> </w:t>
      </w:r>
      <w:r>
        <w:rPr>
          <w:color w:val="000000"/>
        </w:rPr>
        <w:t>or its designee of an irrevocable power of attorney to exercise such Borrower’s rights hereunder.  The agreement of the Shareholders to make Equity Contributions pursuant to Article 2 is made for the benefit of each of the Borrowers and the Secured Parties, and each Secured Party shall have separate and independent direct rights of enforcement against each Shareholder hereunder.</w:t>
      </w:r>
    </w:p>
    <w:p>
      <w:pPr>
        <w:pStyle w:val="a"/>
        <w:rPr>
          <w:color w:val="000000"/>
        </w:rPr>
      </w:pPr>
      <w:bookmarkStart w:id="490" w:name="_DV_M345"/>
      <w:bookmarkEnd w:id="490"/>
      <w:r>
        <w:rPr>
          <w:color w:val="000000"/>
        </w:rPr>
        <w:t>(b)</w:t>
        <w:tab/>
        <w:t>In making payments in respect of this Agreement, it will not seek to recover from any Secured Party for any reason any such payment once made except in accordance with the express terms of the Subordination Agreement, the Disbursement Agreement, or the TBS Shareholder Accounts Agreement .</w:t>
      </w:r>
    </w:p>
    <w:p>
      <w:pPr>
        <w:pStyle w:val="a"/>
        <w:tabs>
          <w:tab w:val="left" w:pos="720" w:leader="none"/>
        </w:tabs>
        <w:ind w:hanging="1440" w:start="1440" w:end="0"/>
        <w:rPr>
          <w:color w:val="000000"/>
        </w:rPr>
      </w:pPr>
      <w:bookmarkStart w:id="491" w:name="_DV_M346"/>
      <w:bookmarkEnd w:id="491"/>
      <w:r>
        <w:rPr>
          <w:color w:val="000000"/>
        </w:rPr>
        <w:t>(c)</w:t>
        <w:tab/>
        <w:t>(i)</w:t>
        <w:tab/>
        <w:t>It  acknowledges and agrees that if the Common Agent shall provide written notice to it that the Common Agent desires to exercise its rights and remedies pursuant to the Common Agreement or any Security Document during the continuation of an Event of Default, the Common Agent shall be entitled, to the extent permitted by Applicable Law, to exercise its rights under the Common Agreement and the Security Documents during the continuation of an Event of Default as a secured party and collateral assignee of this Agreement and to make all demands, give all notices, take all actions, and enforce all rights permitted to the Borrowers under this Agreement, and to exercise its other rights under the Common Agreement.</w:t>
      </w:r>
    </w:p>
    <w:p>
      <w:pPr>
        <w:pStyle w:val="Normal"/>
        <w:tabs>
          <w:tab w:val="left" w:pos="720" w:leader="none"/>
        </w:tabs>
        <w:spacing w:lineRule="exact" w:line="288" w:before="0" w:after="288"/>
        <w:ind w:hanging="720" w:start="1440" w:end="0"/>
        <w:jc w:val="both"/>
        <w:rPr>
          <w:color w:val="000000"/>
        </w:rPr>
      </w:pPr>
      <w:bookmarkStart w:id="492" w:name="_DV_M347"/>
      <w:bookmarkEnd w:id="492"/>
      <w:r>
        <w:rPr>
          <w:color w:val="000000"/>
        </w:rPr>
        <w:t>(ii)</w:t>
        <w:tab/>
        <w:t>It acknowledges and agrees that no Secured Party shall be obligated or required to perform any of the obligations of any Borrower under this Agreement or to take any action to collect or enforce any claim for payment by any Shareholder under this Agreement.</w:t>
      </w:r>
    </w:p>
    <w:p>
      <w:pPr>
        <w:pStyle w:val="Normal"/>
        <w:spacing w:lineRule="exact" w:line="288" w:before="0" w:after="288"/>
        <w:ind w:hanging="720" w:start="1440" w:end="0"/>
        <w:jc w:val="both"/>
        <w:rPr>
          <w:color w:val="000000"/>
        </w:rPr>
      </w:pPr>
      <w:bookmarkStart w:id="493" w:name="_DV_M348"/>
      <w:bookmarkEnd w:id="493"/>
      <w:r>
        <w:rPr>
          <w:color w:val="000000"/>
        </w:rPr>
        <w:t>(iii)</w:t>
        <w:tab/>
        <w:t xml:space="preserve">It acknowledges and agrees that the Financing Documents restrict the ability of the Borrowers to cancel or terminate this Agreement or consent to or accept any cancellation or termination hereof, or to amend, modify, suspend, or give any consent, waiver, or approval hereunder, waive any default under or any breach of any term or condition of this Agreement, or agree in any manner to any amendment, modification, or change of any term or condition hereof.  </w:t>
      </w:r>
    </w:p>
    <w:p>
      <w:pPr>
        <w:pStyle w:val="BodyText"/>
        <w:ind w:hanging="720" w:start="1440" w:end="0"/>
        <w:rPr>
          <w:b/>
          <w:bCs/>
          <w:color w:val="000000"/>
        </w:rPr>
      </w:pPr>
      <w:bookmarkStart w:id="494" w:name="_DV_M349"/>
      <w:bookmarkEnd w:id="494"/>
      <w:r>
        <w:rPr>
          <w:color w:val="000000"/>
        </w:rPr>
        <w:t>(iv)</w:t>
        <w:tab/>
        <w:t>It will not, without the prior written consent of the Lenders (such consent not to be unreasonably withheld) modify or amend the agreement pursuant to which such Shareholder Subordinated Debt is proved.</w:t>
      </w:r>
    </w:p>
    <w:p>
      <w:pPr>
        <w:pStyle w:val="Heading2"/>
        <w:ind w:hanging="0" w:start="0"/>
        <w:rPr>
          <w:color w:val="000000"/>
        </w:rPr>
      </w:pPr>
      <w:bookmarkStart w:id="495" w:name="__RefHeading___Toc490591588"/>
      <w:bookmarkStart w:id="496" w:name="_DV_M350"/>
      <w:bookmarkEnd w:id="495"/>
      <w:bookmarkEnd w:id="496"/>
      <w:r>
        <w:rPr>
          <w:color w:val="000000"/>
        </w:rPr>
        <w:t>ARTICLE 10.  Miscellaneous.</w:t>
      </w:r>
    </w:p>
    <w:p>
      <w:pPr>
        <w:pStyle w:val="Heading3"/>
        <w:ind w:hanging="0" w:start="0"/>
        <w:rPr>
          <w:color w:val="000000"/>
        </w:rPr>
      </w:pPr>
      <w:bookmarkStart w:id="497" w:name="__RefHeading___Toc490591589"/>
      <w:bookmarkStart w:id="498" w:name="_DV_M351"/>
      <w:bookmarkEnd w:id="498"/>
      <w:r>
        <w:rPr>
          <w:color w:val="000000"/>
        </w:rPr>
        <w:t>10.1</w:t>
        <w:tab/>
        <w:t>No Waiver.</w:t>
      </w:r>
      <w:bookmarkStart w:id="499" w:name="_DV_M352"/>
      <w:bookmarkEnd w:id="497"/>
      <w:bookmarkEnd w:id="499"/>
      <w:r>
        <w:rPr>
          <w:color w:val="000000"/>
        </w:rPr>
        <w:t xml:space="preserve"> </w:t>
      </w:r>
    </w:p>
    <w:p>
      <w:pPr>
        <w:pStyle w:val="BodyText"/>
        <w:rPr>
          <w:color w:val="000000"/>
        </w:rPr>
      </w:pPr>
      <w:bookmarkStart w:id="500" w:name="_DV_M353"/>
      <w:bookmarkEnd w:id="500"/>
      <w:r>
        <w:rPr>
          <w:color w:val="000000"/>
        </w:rPr>
        <w:t>No failure on the part of the Common Agent, a Collateral Agent, any Secured Party, or any of their respective agents to exercise and no delay in exercising, and no course of dealing with respect to, any right, power or remedy hereunder shall operate as a waiver thereof, and no single or partial exercise of any right, power or privilege hereunder shall preclude any other or further exercise thereof or the exercise of any other right, power, or privilege.  No waiver of any such right shall be effective unless given in writing.  The remedies provided herein are cumulative and are not exclusive of any remedies provided by law.</w:t>
      </w:r>
    </w:p>
    <w:p>
      <w:pPr>
        <w:pStyle w:val="Heading3"/>
        <w:ind w:hanging="0" w:start="0"/>
        <w:rPr>
          <w:color w:val="000000"/>
        </w:rPr>
      </w:pPr>
      <w:bookmarkStart w:id="501" w:name="__RefHeading___Toc490591590"/>
      <w:bookmarkStart w:id="502" w:name="_DV_M354"/>
      <w:bookmarkEnd w:id="501"/>
      <w:bookmarkEnd w:id="502"/>
      <w:r>
        <w:rPr>
          <w:color w:val="000000"/>
        </w:rPr>
        <w:t>10.2</w:t>
        <w:tab/>
        <w:t>Termination.</w:t>
      </w:r>
    </w:p>
    <w:p>
      <w:pPr>
        <w:pStyle w:val="BodyText"/>
        <w:rPr/>
      </w:pPr>
      <w:bookmarkStart w:id="503" w:name="_DV_M355"/>
      <w:bookmarkEnd w:id="503"/>
      <w:r>
        <w:rPr>
          <w:color w:val="000000"/>
        </w:rPr>
        <w:t xml:space="preserve">The obligations of the Shareholders and the Sponsors hereunder shall terminate upon the first to occur of (a) the Project Completion Date and (b) the date on which the Secured Obligations have been indefeasibly paid in full and all Commitments have been terminated; </w:t>
      </w:r>
      <w:r>
        <w:rPr>
          <w:i/>
          <w:iCs/>
          <w:color w:val="000000"/>
        </w:rPr>
        <w:t>provided</w:t>
      </w:r>
      <w:r>
        <w:rPr>
          <w:color w:val="000000"/>
        </w:rPr>
        <w:t xml:space="preserve"> that (a) the obligations of the Shareholders to make Equity Contributions hereunder shall terminate on the earlier of (i) the Project Completion Date and (ii) the date on which the maximum Equity Contributions required under this Agreement have been indefeasibly paid in full, (b) the obligations of the Shareholders and the Sponsors under Sections 4.11 and 7.2 (other than clause(d) thereof) shall survive until the date on which all Secured Obligations have been indefeasibly paid in full and all Commitments have been terminated, (c) </w:t>
      </w:r>
      <w:bookmarkStart w:id="504" w:name="_DV_M356"/>
      <w:bookmarkEnd w:id="504"/>
      <w:r>
        <w:rPr>
          <w:color w:val="000000"/>
        </w:rPr>
        <w:t>the obligations of the Sponsors under Section 4.1 to guarantee the Equity Contributions required to be made under Section 7.2(d) shall survive until the earlier to occur of (i) the date that all Secured Obligations have been indefeasibly paid in full and all Commitments have been terminated and (ii) the date on which the stamp tax referred to in Section 7.2(d) has been paid in full, and (d) the obligations of the Shareholders and the Sponsors under Sections 4.3, 5.2, 10.6(b), and 10.11 and the representations and warranties made by the Shareholders and Sponsors, shall survive the termination of this Agreement or the resignation or removal of the Common Agent.</w:t>
      </w:r>
      <w:bookmarkStart w:id="505" w:name="_DV_M357"/>
      <w:bookmarkEnd w:id="505"/>
      <w:r>
        <w:rPr>
          <w:color w:val="000000"/>
        </w:rPr>
        <w:t xml:space="preserve">  </w:t>
      </w:r>
    </w:p>
    <w:p>
      <w:pPr>
        <w:pStyle w:val="Heading3"/>
        <w:ind w:hanging="0" w:start="0"/>
        <w:rPr>
          <w:color w:val="000000"/>
        </w:rPr>
      </w:pPr>
      <w:bookmarkStart w:id="506" w:name="__RefHeading___Toc490591591"/>
      <w:bookmarkStart w:id="507" w:name="_DV_M358"/>
      <w:bookmarkEnd w:id="506"/>
      <w:bookmarkEnd w:id="507"/>
      <w:r>
        <w:rPr>
          <w:color w:val="000000"/>
        </w:rPr>
        <w:t>10.3</w:t>
        <w:tab/>
        <w:t>Notices.</w:t>
      </w:r>
    </w:p>
    <w:p>
      <w:pPr>
        <w:pStyle w:val="BodyText"/>
        <w:rPr>
          <w:color w:val="000000"/>
        </w:rPr>
      </w:pPr>
      <w:bookmarkStart w:id="508" w:name="_DV_M359"/>
      <w:bookmarkEnd w:id="508"/>
      <w:r>
        <w:rPr>
          <w:color w:val="000000"/>
        </w:rPr>
        <w:t>Any notice or other communication hereunder shall be given in the manner set forth in the Common Agreement to the parties at the following addresses with a copy to each Lender:</w:t>
      </w:r>
    </w:p>
    <w:p>
      <w:pPr>
        <w:pStyle w:val="BodyText"/>
        <w:keepNext w:val="true"/>
        <w:keepLines/>
        <w:spacing w:before="0" w:after="0"/>
        <w:ind w:hanging="720" w:start="720" w:end="0"/>
        <w:rPr>
          <w:color w:val="000000"/>
        </w:rPr>
      </w:pPr>
      <w:bookmarkStart w:id="509" w:name="_DV_M360"/>
      <w:bookmarkEnd w:id="509"/>
      <w:r>
        <w:rPr>
          <w:color w:val="000000"/>
        </w:rPr>
        <w:t>(a)</w:t>
        <w:tab/>
        <w:t>If to Enron Holdings to:</w:t>
      </w:r>
    </w:p>
    <w:p>
      <w:pPr>
        <w:pStyle w:val="BodyText"/>
        <w:keepNext w:val="true"/>
        <w:keepLines/>
        <w:spacing w:before="0" w:after="0"/>
        <w:rPr>
          <w:color w:val="000000"/>
        </w:rPr>
      </w:pPr>
      <w:r>
        <w:rPr>
          <w:color w:val="000000"/>
        </w:rPr>
      </w:r>
    </w:p>
    <w:p>
      <w:pPr>
        <w:pStyle w:val="BodyText"/>
        <w:keepNext w:val="true"/>
        <w:keepLines/>
        <w:spacing w:before="0" w:after="0"/>
        <w:rPr/>
      </w:pPr>
      <w:bookmarkStart w:id="510" w:name="_DV_M361"/>
      <w:bookmarkEnd w:id="510"/>
      <w:r>
        <w:rPr>
          <w:color w:val="000000"/>
        </w:rPr>
        <w:tab/>
      </w:r>
      <w:r>
        <w:rPr>
          <w:color w:val="000000"/>
          <w:lang w:val="es-ES"/>
        </w:rPr>
        <w:t>c/o Enron Servicos do Brasil Ltda.</w:t>
      </w:r>
    </w:p>
    <w:p>
      <w:pPr>
        <w:pStyle w:val="BodyText"/>
        <w:keepNext w:val="true"/>
        <w:keepLines/>
        <w:spacing w:before="0" w:after="0"/>
        <w:rPr>
          <w:color w:val="000000"/>
          <w:lang w:val="es-ES"/>
        </w:rPr>
      </w:pPr>
      <w:bookmarkStart w:id="511" w:name="_DV_M362"/>
      <w:bookmarkEnd w:id="511"/>
      <w:r>
        <w:rPr>
          <w:color w:val="000000"/>
          <w:lang w:val="es-ES"/>
        </w:rPr>
        <w:tab/>
        <w:t>Av. das Naçoes Unidas 11.541, 6° andar</w:t>
      </w:r>
    </w:p>
    <w:p>
      <w:pPr>
        <w:pStyle w:val="BodyText"/>
        <w:keepNext w:val="true"/>
        <w:keepLines/>
        <w:spacing w:before="0" w:after="0"/>
        <w:rPr>
          <w:color w:val="000000"/>
          <w:lang w:val="es-ES"/>
        </w:rPr>
      </w:pPr>
      <w:bookmarkStart w:id="512" w:name="_DV_M363"/>
      <w:bookmarkEnd w:id="512"/>
      <w:r>
        <w:rPr>
          <w:color w:val="000000"/>
          <w:lang w:val="es-ES"/>
        </w:rPr>
        <w:tab/>
        <w:t>São Paulo, Brazil</w:t>
      </w:r>
    </w:p>
    <w:p>
      <w:pPr>
        <w:pStyle w:val="BodyText"/>
        <w:keepNext w:val="true"/>
        <w:keepLines/>
        <w:spacing w:before="0" w:after="0"/>
        <w:rPr>
          <w:color w:val="000000"/>
          <w:lang w:val="es-ES"/>
        </w:rPr>
      </w:pPr>
      <w:bookmarkStart w:id="513" w:name="_DV_M364"/>
      <w:bookmarkEnd w:id="513"/>
      <w:r>
        <w:rPr>
          <w:color w:val="000000"/>
          <w:lang w:val="es-ES"/>
        </w:rPr>
        <w:tab/>
        <w:t>CEP 04578-000</w:t>
      </w:r>
    </w:p>
    <w:p>
      <w:pPr>
        <w:pStyle w:val="BodyText"/>
        <w:keepNext w:val="true"/>
        <w:keepLines/>
        <w:spacing w:before="0" w:after="0"/>
        <w:rPr/>
      </w:pPr>
      <w:bookmarkStart w:id="514" w:name="_DV_M365"/>
      <w:bookmarkEnd w:id="514"/>
      <w:r>
        <w:rPr>
          <w:color w:val="000000"/>
          <w:lang w:val="es-ES"/>
        </w:rPr>
        <w:tab/>
      </w:r>
      <w:r>
        <w:rPr>
          <w:color w:val="000000"/>
        </w:rPr>
        <w:t>Attention:  General Counsel</w:t>
      </w:r>
    </w:p>
    <w:p>
      <w:pPr>
        <w:pStyle w:val="BodyText"/>
        <w:keepNext w:val="true"/>
        <w:keepLines/>
        <w:spacing w:before="0" w:after="0"/>
        <w:rPr>
          <w:color w:val="000000"/>
        </w:rPr>
      </w:pPr>
      <w:r>
        <w:rPr>
          <w:color w:val="000000"/>
        </w:rPr>
      </w:r>
    </w:p>
    <w:p>
      <w:pPr>
        <w:pStyle w:val="BodyText"/>
        <w:keepNext w:val="true"/>
        <w:keepLines/>
        <w:spacing w:before="0" w:after="0"/>
        <w:rPr>
          <w:color w:val="000000"/>
        </w:rPr>
      </w:pPr>
      <w:bookmarkStart w:id="515" w:name="_DV_M366"/>
      <w:bookmarkEnd w:id="515"/>
      <w:r>
        <w:rPr>
          <w:color w:val="000000"/>
        </w:rPr>
        <w:tab/>
        <w:t>Facsimile:  55-11-5507-3626</w:t>
      </w:r>
    </w:p>
    <w:p>
      <w:pPr>
        <w:pStyle w:val="BodyText"/>
        <w:keepNext w:val="true"/>
        <w:keepLines/>
        <w:spacing w:before="0" w:after="0"/>
        <w:rPr>
          <w:color w:val="000000"/>
        </w:rPr>
      </w:pPr>
      <w:r>
        <w:rPr>
          <w:color w:val="000000"/>
        </w:rPr>
      </w:r>
    </w:p>
    <w:p>
      <w:pPr>
        <w:pStyle w:val="BodyText"/>
        <w:spacing w:before="0" w:after="0"/>
        <w:rPr>
          <w:color w:val="000000"/>
        </w:rPr>
      </w:pPr>
      <w:bookmarkStart w:id="516" w:name="_DV_M367"/>
      <w:bookmarkEnd w:id="516"/>
      <w:r>
        <w:rPr>
          <w:color w:val="000000"/>
        </w:rPr>
        <w:t>(b)</w:t>
        <w:tab/>
        <w:t>If to SCHL to:</w:t>
      </w:r>
    </w:p>
    <w:p>
      <w:pPr>
        <w:pStyle w:val="BodyText"/>
        <w:spacing w:before="0" w:after="0"/>
        <w:rPr>
          <w:color w:val="000000"/>
        </w:rPr>
      </w:pPr>
      <w:r>
        <w:rPr>
          <w:color w:val="000000"/>
        </w:rPr>
      </w:r>
    </w:p>
    <w:p>
      <w:pPr>
        <w:pStyle w:val="BodyText"/>
        <w:spacing w:before="0" w:after="0"/>
        <w:ind w:start="720" w:end="0"/>
        <w:rPr>
          <w:color w:val="000000"/>
        </w:rPr>
      </w:pPr>
      <w:bookmarkStart w:id="517" w:name="_DV_M368"/>
      <w:bookmarkEnd w:id="517"/>
      <w:r>
        <w:rPr>
          <w:color w:val="000000"/>
        </w:rPr>
        <w:t>Shell Cuiabá Holdings Ltd.</w:t>
      </w:r>
    </w:p>
    <w:p>
      <w:pPr>
        <w:pStyle w:val="BodyText"/>
        <w:spacing w:before="0" w:after="0"/>
        <w:ind w:start="720" w:end="0"/>
        <w:rPr>
          <w:color w:val="000000"/>
        </w:rPr>
      </w:pPr>
      <w:bookmarkStart w:id="518" w:name="_DV_M369"/>
      <w:bookmarkEnd w:id="518"/>
      <w:r>
        <w:rPr>
          <w:color w:val="000000"/>
        </w:rPr>
        <w:t>Attn.  General Manager</w:t>
        <w:tab/>
        <w:br/>
        <w:t>Shell House, Ferry Reach</w:t>
        <w:tab/>
        <w:br/>
        <w:t>PO Box GE 2</w:t>
        <w:tab/>
        <w:br/>
        <w:t>St. George’s  GE BX</w:t>
        <w:tab/>
        <w:br/>
        <w:t>Bermuda</w:t>
      </w:r>
    </w:p>
    <w:p>
      <w:pPr>
        <w:pStyle w:val="BodyText"/>
        <w:spacing w:before="0" w:after="0"/>
        <w:ind w:start="720" w:end="0"/>
        <w:rPr>
          <w:color w:val="000000"/>
        </w:rPr>
      </w:pPr>
      <w:r>
        <w:rPr>
          <w:color w:val="000000"/>
        </w:rPr>
      </w:r>
    </w:p>
    <w:p>
      <w:pPr>
        <w:pStyle w:val="BodyText"/>
        <w:spacing w:before="0" w:after="0"/>
        <w:ind w:start="720" w:end="0"/>
        <w:rPr>
          <w:color w:val="000000"/>
        </w:rPr>
      </w:pPr>
      <w:bookmarkStart w:id="519" w:name="_DV_M370"/>
      <w:bookmarkEnd w:id="519"/>
      <w:r>
        <w:rPr>
          <w:color w:val="000000"/>
        </w:rPr>
        <w:t>Telephone:  441–299-7015</w:t>
      </w:r>
    </w:p>
    <w:p>
      <w:pPr>
        <w:pStyle w:val="BodyText"/>
        <w:spacing w:before="0" w:after="0"/>
        <w:ind w:start="720" w:end="0"/>
        <w:rPr>
          <w:color w:val="000000"/>
        </w:rPr>
      </w:pPr>
      <w:bookmarkStart w:id="520" w:name="_DV_M371"/>
      <w:bookmarkEnd w:id="520"/>
      <w:r>
        <w:rPr>
          <w:color w:val="000000"/>
        </w:rPr>
        <w:t>Facsimile:  441–297–0621</w:t>
      </w:r>
    </w:p>
    <w:p>
      <w:pPr>
        <w:pStyle w:val="BodyText"/>
        <w:spacing w:before="0" w:after="0"/>
        <w:ind w:start="720" w:end="0"/>
        <w:rPr>
          <w:color w:val="000000"/>
        </w:rPr>
      </w:pPr>
      <w:r>
        <w:rPr>
          <w:color w:val="000000"/>
        </w:rPr>
      </w:r>
    </w:p>
    <w:p>
      <w:pPr>
        <w:pStyle w:val="BodyText"/>
        <w:keepNext w:val="true"/>
        <w:spacing w:before="0" w:after="0"/>
        <w:ind w:start="720" w:end="0"/>
        <w:rPr>
          <w:color w:val="000000"/>
        </w:rPr>
      </w:pPr>
      <w:bookmarkStart w:id="521" w:name="_DV_M372"/>
      <w:bookmarkEnd w:id="521"/>
      <w:r>
        <w:rPr>
          <w:color w:val="000000"/>
        </w:rPr>
        <w:t>With copy to:</w:t>
      </w:r>
    </w:p>
    <w:p>
      <w:pPr>
        <w:pStyle w:val="BodyText"/>
        <w:keepNext w:val="true"/>
        <w:spacing w:before="0" w:after="0"/>
        <w:ind w:start="720" w:end="0"/>
        <w:rPr>
          <w:color w:val="000000"/>
        </w:rPr>
      </w:pPr>
      <w:r>
        <w:rPr>
          <w:color w:val="000000"/>
        </w:rPr>
      </w:r>
    </w:p>
    <w:p>
      <w:pPr>
        <w:pStyle w:val="BodyText"/>
        <w:keepNext w:val="true"/>
        <w:numPr>
          <w:ilvl w:val="0"/>
          <w:numId w:val="0"/>
        </w:numPr>
        <w:spacing w:before="0" w:after="0"/>
        <w:ind w:start="720" w:end="0"/>
        <w:outlineLvl w:val="0"/>
        <w:rPr>
          <w:color w:val="000000"/>
        </w:rPr>
      </w:pPr>
      <w:bookmarkStart w:id="522" w:name="_DV_M373"/>
      <w:bookmarkEnd w:id="522"/>
      <w:r>
        <w:rPr>
          <w:color w:val="000000"/>
        </w:rPr>
        <w:t>Shell International Gas Limited</w:t>
      </w:r>
    </w:p>
    <w:p>
      <w:pPr>
        <w:pStyle w:val="BodyText"/>
        <w:keepNext w:val="true"/>
        <w:spacing w:before="0" w:after="0"/>
        <w:ind w:start="720" w:end="0"/>
        <w:rPr>
          <w:color w:val="000000"/>
        </w:rPr>
      </w:pPr>
      <w:bookmarkStart w:id="523" w:name="_DV_M374"/>
      <w:bookmarkEnd w:id="523"/>
      <w:r>
        <w:rPr>
          <w:color w:val="000000"/>
        </w:rPr>
        <w:t>Shell Centre</w:t>
      </w:r>
    </w:p>
    <w:p>
      <w:pPr>
        <w:pStyle w:val="BodyText"/>
        <w:keepNext w:val="true"/>
        <w:spacing w:before="0" w:after="0"/>
        <w:ind w:start="720" w:end="0"/>
        <w:rPr>
          <w:color w:val="000000"/>
        </w:rPr>
      </w:pPr>
      <w:bookmarkStart w:id="524" w:name="_DV_M375"/>
      <w:bookmarkEnd w:id="524"/>
      <w:r>
        <w:rPr>
          <w:color w:val="000000"/>
        </w:rPr>
        <w:t>London   SE1  7NA</w:t>
      </w:r>
    </w:p>
    <w:p>
      <w:pPr>
        <w:pStyle w:val="BodyText"/>
        <w:keepNext w:val="true"/>
        <w:spacing w:before="0" w:after="0"/>
        <w:ind w:start="720" w:end="0"/>
        <w:rPr>
          <w:color w:val="000000"/>
        </w:rPr>
      </w:pPr>
      <w:bookmarkStart w:id="525" w:name="_DV_M376"/>
      <w:bookmarkEnd w:id="525"/>
      <w:r>
        <w:rPr>
          <w:color w:val="000000"/>
        </w:rPr>
        <w:t>United Kingdom</w:t>
      </w:r>
    </w:p>
    <w:p>
      <w:pPr>
        <w:pStyle w:val="BodyText"/>
        <w:keepNext w:val="true"/>
        <w:spacing w:before="0" w:after="0"/>
        <w:ind w:start="720" w:end="0"/>
        <w:rPr>
          <w:color w:val="000000"/>
        </w:rPr>
      </w:pPr>
      <w:bookmarkStart w:id="526" w:name="_DV_M377"/>
      <w:bookmarkEnd w:id="526"/>
      <w:r>
        <w:rPr>
          <w:color w:val="000000"/>
        </w:rPr>
        <w:t>Attn:  Director Latin America, GPS</w:t>
      </w:r>
    </w:p>
    <w:p>
      <w:pPr>
        <w:pStyle w:val="BodyText"/>
        <w:keepNext w:val="true"/>
        <w:spacing w:before="0" w:after="0"/>
        <w:ind w:start="720" w:end="0"/>
        <w:rPr>
          <w:color w:val="000000"/>
        </w:rPr>
      </w:pPr>
      <w:r>
        <w:rPr>
          <w:color w:val="000000"/>
        </w:rPr>
      </w:r>
    </w:p>
    <w:p>
      <w:pPr>
        <w:pStyle w:val="BodyText"/>
        <w:keepNext w:val="true"/>
        <w:spacing w:before="0" w:after="0"/>
        <w:ind w:start="720" w:end="0"/>
        <w:rPr>
          <w:color w:val="000000"/>
        </w:rPr>
      </w:pPr>
      <w:bookmarkStart w:id="527" w:name="_DV_M378"/>
      <w:bookmarkEnd w:id="527"/>
      <w:r>
        <w:rPr>
          <w:color w:val="000000"/>
        </w:rPr>
        <w:t>Telephone:  44 171 939 3406</w:t>
      </w:r>
    </w:p>
    <w:p>
      <w:pPr>
        <w:pStyle w:val="BodyText"/>
        <w:spacing w:before="0" w:after="0"/>
        <w:ind w:start="720" w:end="0"/>
        <w:rPr>
          <w:color w:val="000000"/>
        </w:rPr>
      </w:pPr>
      <w:bookmarkStart w:id="528" w:name="_DV_M379"/>
      <w:bookmarkEnd w:id="528"/>
      <w:r>
        <w:rPr>
          <w:color w:val="000000"/>
        </w:rPr>
        <w:t>Facsimile:  44 171 939 7192</w:t>
      </w:r>
    </w:p>
    <w:p>
      <w:pPr>
        <w:pStyle w:val="BodyText"/>
        <w:spacing w:before="0" w:after="0"/>
        <w:ind w:start="720" w:end="0"/>
        <w:rPr>
          <w:color w:val="000000"/>
        </w:rPr>
      </w:pPr>
      <w:r>
        <w:rPr>
          <w:color w:val="000000"/>
        </w:rPr>
      </w:r>
    </w:p>
    <w:p>
      <w:pPr>
        <w:pStyle w:val="BodyText"/>
        <w:keepNext w:val="true"/>
        <w:keepLines/>
        <w:spacing w:before="0" w:after="0"/>
        <w:rPr>
          <w:color w:val="000000"/>
        </w:rPr>
      </w:pPr>
      <w:bookmarkStart w:id="529" w:name="_DV_M380"/>
      <w:bookmarkEnd w:id="529"/>
      <w:r>
        <w:rPr>
          <w:color w:val="000000"/>
        </w:rPr>
        <w:t>(c)</w:t>
        <w:tab/>
        <w:t>If to EIBH to:</w:t>
      </w:r>
    </w:p>
    <w:p>
      <w:pPr>
        <w:pStyle w:val="BodyText"/>
        <w:keepNext w:val="true"/>
        <w:keepLines/>
        <w:spacing w:before="0" w:after="0"/>
        <w:rPr>
          <w:color w:val="000000"/>
        </w:rPr>
      </w:pPr>
      <w:r>
        <w:rPr>
          <w:color w:val="000000"/>
        </w:rPr>
      </w:r>
    </w:p>
    <w:p>
      <w:pPr>
        <w:pStyle w:val="BodyText"/>
        <w:keepNext w:val="true"/>
        <w:keepLines/>
        <w:spacing w:before="0" w:after="0"/>
        <w:rPr/>
      </w:pPr>
      <w:bookmarkStart w:id="530" w:name="_DV_M381"/>
      <w:bookmarkEnd w:id="530"/>
      <w:r>
        <w:rPr>
          <w:color w:val="000000"/>
        </w:rPr>
        <w:tab/>
      </w:r>
      <w:r>
        <w:rPr>
          <w:color w:val="000000"/>
          <w:lang w:val="es-ES"/>
        </w:rPr>
        <w:t>c/o Enron Servicos do Brasil Ltda.</w:t>
      </w:r>
    </w:p>
    <w:p>
      <w:pPr>
        <w:pStyle w:val="BodyText"/>
        <w:keepNext w:val="true"/>
        <w:keepLines/>
        <w:spacing w:before="0" w:after="0"/>
        <w:rPr>
          <w:color w:val="000000"/>
          <w:lang w:val="es-ES"/>
        </w:rPr>
      </w:pPr>
      <w:bookmarkStart w:id="531" w:name="_DV_M382"/>
      <w:bookmarkEnd w:id="531"/>
      <w:r>
        <w:rPr>
          <w:color w:val="000000"/>
          <w:lang w:val="es-ES"/>
        </w:rPr>
        <w:tab/>
        <w:t>Av. das Naçoes Unidas 11.541, 6° andar</w:t>
      </w:r>
    </w:p>
    <w:p>
      <w:pPr>
        <w:pStyle w:val="BodyText"/>
        <w:keepNext w:val="true"/>
        <w:keepLines/>
        <w:spacing w:before="0" w:after="0"/>
        <w:rPr>
          <w:color w:val="000000"/>
          <w:lang w:val="es-ES"/>
        </w:rPr>
      </w:pPr>
      <w:bookmarkStart w:id="532" w:name="_DV_M383"/>
      <w:bookmarkEnd w:id="532"/>
      <w:r>
        <w:rPr>
          <w:color w:val="000000"/>
          <w:lang w:val="es-ES"/>
        </w:rPr>
        <w:tab/>
        <w:t>São Paulo, Brazil</w:t>
      </w:r>
    </w:p>
    <w:p>
      <w:pPr>
        <w:pStyle w:val="BodyText"/>
        <w:keepNext w:val="true"/>
        <w:keepLines/>
        <w:spacing w:before="0" w:after="0"/>
        <w:rPr>
          <w:color w:val="000000"/>
          <w:lang w:val="es-ES"/>
        </w:rPr>
      </w:pPr>
      <w:bookmarkStart w:id="533" w:name="_DV_M384"/>
      <w:bookmarkEnd w:id="533"/>
      <w:r>
        <w:rPr>
          <w:color w:val="000000"/>
          <w:lang w:val="es-ES"/>
        </w:rPr>
        <w:tab/>
        <w:t>CEP 04578-000</w:t>
      </w:r>
    </w:p>
    <w:p>
      <w:pPr>
        <w:pStyle w:val="BodyText"/>
        <w:keepNext w:val="true"/>
        <w:keepLines/>
        <w:spacing w:before="0" w:after="0"/>
        <w:rPr/>
      </w:pPr>
      <w:bookmarkStart w:id="534" w:name="_DV_M385"/>
      <w:bookmarkEnd w:id="534"/>
      <w:r>
        <w:rPr>
          <w:color w:val="000000"/>
          <w:lang w:val="es-ES"/>
        </w:rPr>
        <w:tab/>
      </w:r>
      <w:r>
        <w:rPr>
          <w:color w:val="000000"/>
        </w:rPr>
        <w:t>Attention:  General Counsel</w:t>
      </w:r>
    </w:p>
    <w:p>
      <w:pPr>
        <w:pStyle w:val="BodyText"/>
        <w:keepNext w:val="true"/>
        <w:keepLines/>
        <w:spacing w:before="0" w:after="0"/>
        <w:rPr>
          <w:color w:val="000000"/>
        </w:rPr>
      </w:pPr>
      <w:r>
        <w:rPr>
          <w:color w:val="000000"/>
        </w:rPr>
      </w:r>
    </w:p>
    <w:p>
      <w:pPr>
        <w:pStyle w:val="BodyText"/>
        <w:keepNext w:val="true"/>
        <w:keepLines/>
        <w:spacing w:before="0" w:after="0"/>
        <w:rPr>
          <w:color w:val="000000"/>
        </w:rPr>
      </w:pPr>
      <w:bookmarkStart w:id="535" w:name="_DV_M386"/>
      <w:bookmarkEnd w:id="535"/>
      <w:r>
        <w:rPr>
          <w:color w:val="000000"/>
        </w:rPr>
        <w:tab/>
        <w:t>Facsimile:   55-11-5507-3626</w:t>
      </w:r>
    </w:p>
    <w:p>
      <w:pPr>
        <w:pStyle w:val="BodyText"/>
        <w:keepNext w:val="true"/>
        <w:keepLines/>
        <w:spacing w:before="0" w:after="0"/>
        <w:rPr>
          <w:color w:val="000000"/>
        </w:rPr>
      </w:pPr>
      <w:r>
        <w:rPr>
          <w:color w:val="000000"/>
        </w:rPr>
      </w:r>
    </w:p>
    <w:p>
      <w:pPr>
        <w:pStyle w:val="BodyText"/>
        <w:keepNext w:val="true"/>
        <w:keepLines/>
        <w:spacing w:before="0" w:after="0"/>
        <w:rPr>
          <w:color w:val="000000"/>
        </w:rPr>
      </w:pPr>
      <w:bookmarkStart w:id="536" w:name="_DV_M387"/>
      <w:bookmarkEnd w:id="536"/>
      <w:r>
        <w:rPr>
          <w:color w:val="000000"/>
        </w:rPr>
        <w:t>(d)</w:t>
        <w:tab/>
        <w:t>If to Enron Corp. to:</w:t>
      </w:r>
    </w:p>
    <w:p>
      <w:pPr>
        <w:pStyle w:val="BodyText"/>
        <w:keepNext w:val="true"/>
        <w:keepLines/>
        <w:spacing w:before="0" w:after="0"/>
        <w:rPr>
          <w:color w:val="000000"/>
        </w:rPr>
      </w:pPr>
      <w:r>
        <w:rPr>
          <w:color w:val="000000"/>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0"/>
        <w:ind w:start="720" w:end="0"/>
        <w:rPr>
          <w:color w:val="000000"/>
        </w:rPr>
      </w:pPr>
      <w:bookmarkStart w:id="537" w:name="_DV_M388"/>
      <w:bookmarkEnd w:id="537"/>
      <w:r>
        <w:rPr>
          <w:color w:val="000000"/>
        </w:rPr>
        <w:t>Enron Corp.</w:t>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0"/>
        <w:rPr>
          <w:color w:val="000000"/>
        </w:rPr>
      </w:pPr>
      <w:bookmarkStart w:id="538" w:name="_DV_M389"/>
      <w:bookmarkEnd w:id="538"/>
      <w:r>
        <w:rPr>
          <w:color w:val="000000"/>
        </w:rPr>
        <w:tab/>
        <w:t>1400 Smith Street</w:t>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0"/>
        <w:rPr>
          <w:color w:val="000000"/>
        </w:rPr>
      </w:pPr>
      <w:bookmarkStart w:id="539" w:name="_DV_M390"/>
      <w:bookmarkEnd w:id="539"/>
      <w:r>
        <w:rPr>
          <w:color w:val="000000"/>
        </w:rPr>
        <w:tab/>
        <w:t>Houston, Texas 77002</w:t>
      </w:r>
    </w:p>
    <w:p>
      <w:pPr>
        <w:pStyle w:val="BodyText"/>
        <w:keepNext w:val="true"/>
        <w:keepLines/>
        <w:numPr>
          <w:ilvl w:val="0"/>
          <w:numId w:val="0"/>
        </w:numPr>
        <w:spacing w:before="0" w:after="0"/>
        <w:ind w:firstLine="720" w:start="720" w:end="0"/>
        <w:outlineLvl w:val="0"/>
        <w:rPr>
          <w:color w:val="000000"/>
        </w:rPr>
      </w:pPr>
      <w:r>
        <w:rPr>
          <w:color w:val="000000"/>
        </w:rPr>
      </w:r>
    </w:p>
    <w:p>
      <w:pPr>
        <w:pStyle w:val="BodyText"/>
        <w:keepNext w:val="true"/>
        <w:keepLines/>
        <w:numPr>
          <w:ilvl w:val="0"/>
          <w:numId w:val="0"/>
        </w:numPr>
        <w:spacing w:before="0" w:after="0"/>
        <w:ind w:start="720" w:end="0"/>
        <w:outlineLvl w:val="0"/>
        <w:rPr>
          <w:color w:val="000000"/>
        </w:rPr>
      </w:pPr>
      <w:bookmarkStart w:id="540" w:name="_DV_M391"/>
      <w:bookmarkEnd w:id="540"/>
      <w:r>
        <w:rPr>
          <w:color w:val="000000"/>
        </w:rPr>
        <w:t>Telephone:  713-646-6017</w:t>
      </w:r>
    </w:p>
    <w:p>
      <w:pPr>
        <w:pStyle w:val="BodyText"/>
        <w:keepNext w:val="true"/>
        <w:keepLines/>
        <w:spacing w:before="0" w:after="0"/>
        <w:ind w:start="720" w:end="0"/>
        <w:rPr>
          <w:color w:val="000000"/>
        </w:rPr>
      </w:pPr>
      <w:bookmarkStart w:id="541" w:name="_DV_M392"/>
      <w:bookmarkEnd w:id="541"/>
      <w:r>
        <w:rPr>
          <w:color w:val="000000"/>
        </w:rPr>
        <w:t>Facsimile:  713-646-6227</w:t>
      </w:r>
    </w:p>
    <w:p>
      <w:pPr>
        <w:pStyle w:val="BodyText"/>
        <w:keepNext w:val="true"/>
        <w:keepLines/>
        <w:spacing w:before="0" w:after="0"/>
        <w:rPr>
          <w:color w:val="000000"/>
        </w:rPr>
      </w:pPr>
      <w:r>
        <w:rPr>
          <w:color w:val="000000"/>
        </w:rPr>
      </w:r>
    </w:p>
    <w:p>
      <w:pPr>
        <w:pStyle w:val="BodyText"/>
        <w:keepNext w:val="true"/>
        <w:spacing w:before="0" w:after="0"/>
        <w:rPr>
          <w:color w:val="000000"/>
        </w:rPr>
      </w:pPr>
      <w:bookmarkStart w:id="542" w:name="_DV_M393"/>
      <w:bookmarkEnd w:id="542"/>
      <w:r>
        <w:rPr>
          <w:color w:val="000000"/>
        </w:rPr>
        <w:t>(e)</w:t>
        <w:tab/>
        <w:t>If to EBPH to:</w:t>
      </w:r>
    </w:p>
    <w:p>
      <w:pPr>
        <w:pStyle w:val="BodyText"/>
        <w:keepNext w:val="true"/>
        <w:spacing w:before="0" w:after="0"/>
        <w:rPr>
          <w:color w:val="000000"/>
        </w:rPr>
      </w:pPr>
      <w:r>
        <w:rPr>
          <w:color w:val="000000"/>
        </w:rPr>
      </w:r>
    </w:p>
    <w:p>
      <w:pPr>
        <w:pStyle w:val="BodyText"/>
        <w:keepNext w:val="true"/>
        <w:spacing w:before="0" w:after="0"/>
        <w:rPr/>
      </w:pPr>
      <w:bookmarkStart w:id="543" w:name="_DV_M394"/>
      <w:bookmarkEnd w:id="543"/>
      <w:r>
        <w:rPr>
          <w:color w:val="000000"/>
        </w:rPr>
        <w:tab/>
      </w:r>
      <w:r>
        <w:rPr>
          <w:color w:val="000000"/>
          <w:lang w:val="es-ES"/>
        </w:rPr>
        <w:t>c/o Enron Servicos do Brasil Ltda.</w:t>
      </w:r>
    </w:p>
    <w:p>
      <w:pPr>
        <w:pStyle w:val="BodyText"/>
        <w:keepNext w:val="true"/>
        <w:spacing w:before="0" w:after="0"/>
        <w:rPr>
          <w:color w:val="000000"/>
          <w:lang w:val="es-ES"/>
        </w:rPr>
      </w:pPr>
      <w:bookmarkStart w:id="544" w:name="_DV_M395"/>
      <w:bookmarkEnd w:id="544"/>
      <w:r>
        <w:rPr>
          <w:color w:val="000000"/>
          <w:lang w:val="es-ES"/>
        </w:rPr>
        <w:tab/>
        <w:t>Av. das Naçoes Unidas 11.541, 6° andar</w:t>
      </w:r>
    </w:p>
    <w:p>
      <w:pPr>
        <w:pStyle w:val="BodyText"/>
        <w:keepNext w:val="true"/>
        <w:spacing w:before="0" w:after="0"/>
        <w:rPr>
          <w:color w:val="000000"/>
          <w:lang w:val="es-ES"/>
        </w:rPr>
      </w:pPr>
      <w:bookmarkStart w:id="545" w:name="_DV_M396"/>
      <w:bookmarkEnd w:id="545"/>
      <w:r>
        <w:rPr>
          <w:color w:val="000000"/>
          <w:lang w:val="es-ES"/>
        </w:rPr>
        <w:tab/>
        <w:t>São Paulo, Brazil</w:t>
      </w:r>
    </w:p>
    <w:p>
      <w:pPr>
        <w:pStyle w:val="BodyText"/>
        <w:keepNext w:val="true"/>
        <w:spacing w:before="0" w:after="0"/>
        <w:rPr>
          <w:color w:val="000000"/>
          <w:lang w:val="es-ES"/>
        </w:rPr>
      </w:pPr>
      <w:bookmarkStart w:id="546" w:name="_DV_M397"/>
      <w:bookmarkEnd w:id="546"/>
      <w:r>
        <w:rPr>
          <w:color w:val="000000"/>
          <w:lang w:val="es-ES"/>
        </w:rPr>
        <w:tab/>
        <w:t>CEP 04578-000</w:t>
      </w:r>
    </w:p>
    <w:p>
      <w:pPr>
        <w:pStyle w:val="BodyText"/>
        <w:keepNext w:val="true"/>
        <w:spacing w:before="0" w:after="0"/>
        <w:rPr/>
      </w:pPr>
      <w:bookmarkStart w:id="547" w:name="_DV_M398"/>
      <w:bookmarkEnd w:id="547"/>
      <w:r>
        <w:rPr>
          <w:color w:val="000000"/>
          <w:lang w:val="es-ES"/>
        </w:rPr>
        <w:tab/>
      </w:r>
      <w:r>
        <w:rPr>
          <w:color w:val="000000"/>
        </w:rPr>
        <w:t>Attention:  General Counsel</w:t>
      </w:r>
    </w:p>
    <w:p>
      <w:pPr>
        <w:pStyle w:val="BodyText"/>
        <w:spacing w:before="0" w:after="0"/>
        <w:rPr>
          <w:color w:val="000000"/>
        </w:rPr>
      </w:pPr>
      <w:r>
        <w:rPr>
          <w:color w:val="000000"/>
        </w:rPr>
      </w:r>
    </w:p>
    <w:p>
      <w:pPr>
        <w:pStyle w:val="BodyText"/>
        <w:spacing w:before="0" w:after="0"/>
        <w:rPr>
          <w:color w:val="000000"/>
        </w:rPr>
      </w:pPr>
      <w:bookmarkStart w:id="548" w:name="_DV_M399"/>
      <w:bookmarkEnd w:id="548"/>
      <w:r>
        <w:rPr>
          <w:color w:val="000000"/>
        </w:rPr>
        <w:tab/>
        <w:t>Facsimile:  55-11-5507-3626</w:t>
      </w:r>
    </w:p>
    <w:p>
      <w:pPr>
        <w:pStyle w:val="BodyText"/>
        <w:spacing w:before="0" w:after="0"/>
        <w:rPr>
          <w:color w:val="000000"/>
        </w:rPr>
      </w:pPr>
      <w:r>
        <w:rPr>
          <w:color w:val="000000"/>
        </w:rPr>
      </w:r>
    </w:p>
    <w:p>
      <w:pPr>
        <w:pStyle w:val="BodyText"/>
        <w:keepNext w:val="true"/>
        <w:keepLines/>
        <w:spacing w:before="0" w:after="0"/>
        <w:rPr>
          <w:color w:val="000000"/>
        </w:rPr>
      </w:pPr>
      <w:bookmarkStart w:id="549" w:name="_DV_M400"/>
      <w:bookmarkEnd w:id="549"/>
      <w:r>
        <w:rPr>
          <w:color w:val="000000"/>
        </w:rPr>
        <w:t>(f)</w:t>
        <w:tab/>
        <w:t>If to SGLA to:</w:t>
      </w:r>
    </w:p>
    <w:p>
      <w:pPr>
        <w:pStyle w:val="BodyText"/>
        <w:keepNext w:val="true"/>
        <w:keepLines/>
        <w:spacing w:before="0" w:after="0"/>
        <w:rPr>
          <w:color w:val="000000"/>
        </w:rPr>
      </w:pPr>
      <w:r>
        <w:rPr>
          <w:color w:val="000000"/>
        </w:rPr>
      </w:r>
    </w:p>
    <w:p>
      <w:pPr>
        <w:pStyle w:val="BodyText"/>
        <w:keepNext w:val="true"/>
        <w:keepLines/>
        <w:spacing w:before="0" w:after="0"/>
        <w:jc w:val="start"/>
        <w:rPr>
          <w:color w:val="000000"/>
        </w:rPr>
      </w:pPr>
      <w:bookmarkStart w:id="550" w:name="_DV_M401"/>
      <w:bookmarkEnd w:id="550"/>
      <w:r>
        <w:rPr>
          <w:color w:val="000000"/>
        </w:rPr>
        <w:tab/>
        <w:t>Shell Gas (Latin America) B.V.</w:t>
      </w:r>
    </w:p>
    <w:p>
      <w:pPr>
        <w:pStyle w:val="BodyText"/>
        <w:keepNext w:val="true"/>
        <w:keepLines/>
        <w:spacing w:before="0" w:after="0"/>
        <w:jc w:val="start"/>
        <w:rPr>
          <w:color w:val="000000"/>
        </w:rPr>
      </w:pPr>
      <w:bookmarkStart w:id="551" w:name="_DV_M402"/>
      <w:bookmarkEnd w:id="551"/>
      <w:r>
        <w:rPr>
          <w:color w:val="000000"/>
        </w:rPr>
        <w:tab/>
        <w:t>Attn. Company Secretary, LSSH</w:t>
      </w:r>
    </w:p>
    <w:p>
      <w:pPr>
        <w:pStyle w:val="BodyText"/>
        <w:spacing w:before="0" w:after="0"/>
        <w:jc w:val="start"/>
        <w:rPr>
          <w:color w:val="000000"/>
        </w:rPr>
      </w:pPr>
      <w:bookmarkStart w:id="552" w:name="_DV_M403"/>
      <w:bookmarkEnd w:id="552"/>
      <w:r>
        <w:rPr>
          <w:color w:val="000000"/>
        </w:rPr>
        <w:tab/>
        <w:t>Carel van Bylandtlaan 30</w:t>
      </w:r>
    </w:p>
    <w:p>
      <w:pPr>
        <w:pStyle w:val="BodyText"/>
        <w:spacing w:before="0" w:after="0"/>
        <w:jc w:val="start"/>
        <w:rPr>
          <w:color w:val="000000"/>
        </w:rPr>
      </w:pPr>
      <w:bookmarkStart w:id="553" w:name="_DV_M404"/>
      <w:bookmarkEnd w:id="553"/>
      <w:r>
        <w:rPr>
          <w:color w:val="000000"/>
        </w:rPr>
        <w:tab/>
        <w:t>2596 HR  The Hague</w:t>
        <w:tab/>
      </w:r>
    </w:p>
    <w:p>
      <w:pPr>
        <w:pStyle w:val="BodyText"/>
        <w:spacing w:before="0" w:after="0"/>
        <w:jc w:val="start"/>
        <w:rPr>
          <w:color w:val="000000"/>
        </w:rPr>
      </w:pPr>
      <w:bookmarkStart w:id="554" w:name="_DV_M405"/>
      <w:bookmarkEnd w:id="554"/>
      <w:r>
        <w:rPr>
          <w:color w:val="000000"/>
        </w:rPr>
        <w:tab/>
        <w:t>The Netherlands</w:t>
      </w:r>
    </w:p>
    <w:p>
      <w:pPr>
        <w:pStyle w:val="BodyText"/>
        <w:spacing w:before="0" w:after="0"/>
        <w:rPr>
          <w:color w:val="000000"/>
        </w:rPr>
      </w:pPr>
      <w:r>
        <w:rPr>
          <w:color w:val="000000"/>
        </w:rPr>
      </w:r>
    </w:p>
    <w:p>
      <w:pPr>
        <w:pStyle w:val="BodyText"/>
        <w:numPr>
          <w:ilvl w:val="0"/>
          <w:numId w:val="0"/>
        </w:numPr>
        <w:spacing w:before="0" w:after="0"/>
        <w:outlineLvl w:val="0"/>
        <w:rPr>
          <w:color w:val="000000"/>
        </w:rPr>
      </w:pPr>
      <w:bookmarkStart w:id="555" w:name="_DV_M406"/>
      <w:bookmarkEnd w:id="555"/>
      <w:r>
        <w:rPr>
          <w:color w:val="000000"/>
        </w:rPr>
        <w:tab/>
        <w:t>Telephone:  31 – 70 – 377 2988</w:t>
      </w:r>
    </w:p>
    <w:p>
      <w:pPr>
        <w:pStyle w:val="BodyText"/>
        <w:spacing w:before="0" w:after="0"/>
        <w:rPr>
          <w:color w:val="000000"/>
        </w:rPr>
      </w:pPr>
      <w:bookmarkStart w:id="556" w:name="_DV_M407"/>
      <w:bookmarkEnd w:id="556"/>
      <w:r>
        <w:rPr>
          <w:color w:val="000000"/>
        </w:rPr>
        <w:tab/>
        <w:t>Facsimile: 31 – 70 – 377 6790</w:t>
      </w:r>
    </w:p>
    <w:p>
      <w:pPr>
        <w:pStyle w:val="BodyText"/>
        <w:spacing w:before="0" w:after="0"/>
        <w:ind w:firstLine="720" w:start="720" w:end="0"/>
        <w:rPr>
          <w:color w:val="000000"/>
        </w:rPr>
      </w:pPr>
      <w:r>
        <w:rPr>
          <w:color w:val="000000"/>
        </w:rPr>
      </w:r>
    </w:p>
    <w:p>
      <w:pPr>
        <w:pStyle w:val="BodyText"/>
        <w:keepNext w:val="true"/>
        <w:keepLines/>
        <w:spacing w:before="0" w:after="0"/>
        <w:ind w:start="720" w:end="0"/>
        <w:rPr>
          <w:color w:val="000000"/>
        </w:rPr>
      </w:pPr>
      <w:bookmarkStart w:id="557" w:name="_DV_M408"/>
      <w:bookmarkEnd w:id="557"/>
      <w:r>
        <w:rPr>
          <w:color w:val="000000"/>
        </w:rPr>
        <w:t>With copy to:</w:t>
      </w:r>
    </w:p>
    <w:p>
      <w:pPr>
        <w:pStyle w:val="BodyText"/>
        <w:keepNext w:val="true"/>
        <w:keepLines/>
        <w:spacing w:before="0" w:after="0"/>
        <w:ind w:start="1440" w:end="0"/>
        <w:rPr>
          <w:color w:val="000000"/>
        </w:rPr>
      </w:pPr>
      <w:r>
        <w:rPr>
          <w:color w:val="000000"/>
        </w:rPr>
      </w:r>
    </w:p>
    <w:p>
      <w:pPr>
        <w:pStyle w:val="BodyText"/>
        <w:keepNext w:val="true"/>
        <w:keepLines/>
        <w:numPr>
          <w:ilvl w:val="0"/>
          <w:numId w:val="0"/>
        </w:numPr>
        <w:spacing w:before="0" w:after="0"/>
        <w:ind w:start="720" w:end="0"/>
        <w:outlineLvl w:val="0"/>
        <w:rPr>
          <w:color w:val="000000"/>
        </w:rPr>
      </w:pPr>
      <w:bookmarkStart w:id="558" w:name="_DV_M409"/>
      <w:bookmarkEnd w:id="558"/>
      <w:r>
        <w:rPr>
          <w:color w:val="000000"/>
        </w:rPr>
        <w:t>Shell International Gas Limited</w:t>
        <w:tab/>
      </w:r>
    </w:p>
    <w:p>
      <w:pPr>
        <w:pStyle w:val="BodyText"/>
        <w:keepNext w:val="true"/>
        <w:keepLines/>
        <w:spacing w:before="0" w:after="0"/>
        <w:ind w:start="720" w:end="0"/>
        <w:rPr>
          <w:color w:val="000000"/>
        </w:rPr>
      </w:pPr>
      <w:bookmarkStart w:id="559" w:name="_DV_M410"/>
      <w:bookmarkEnd w:id="559"/>
      <w:r>
        <w:rPr>
          <w:color w:val="000000"/>
        </w:rPr>
        <w:t>Attn: Director Latin America, GPS</w:t>
        <w:tab/>
      </w:r>
    </w:p>
    <w:p>
      <w:pPr>
        <w:pStyle w:val="BodyText"/>
        <w:keepNext w:val="true"/>
        <w:keepLines/>
        <w:spacing w:before="0" w:after="0"/>
        <w:ind w:start="720" w:end="0"/>
        <w:rPr>
          <w:color w:val="000000"/>
        </w:rPr>
      </w:pPr>
      <w:bookmarkStart w:id="560" w:name="_DV_M411"/>
      <w:bookmarkEnd w:id="560"/>
      <w:r>
        <w:rPr>
          <w:color w:val="000000"/>
        </w:rPr>
        <w:t>Shell Centre</w:t>
        <w:tab/>
        <w:t>London   SE1  7NA</w:t>
        <w:tab/>
      </w:r>
    </w:p>
    <w:p>
      <w:pPr>
        <w:pStyle w:val="BodyText"/>
        <w:keepNext w:val="true"/>
        <w:keepLines/>
        <w:spacing w:before="0" w:after="0"/>
        <w:ind w:start="720" w:end="0"/>
        <w:rPr>
          <w:color w:val="000000"/>
        </w:rPr>
      </w:pPr>
      <w:bookmarkStart w:id="561" w:name="_DV_M412"/>
      <w:bookmarkEnd w:id="561"/>
      <w:r>
        <w:rPr>
          <w:color w:val="000000"/>
        </w:rPr>
        <w:t>United Kingdom</w:t>
      </w:r>
    </w:p>
    <w:p>
      <w:pPr>
        <w:pStyle w:val="BodyText"/>
        <w:keepNext w:val="true"/>
        <w:keepLines/>
        <w:spacing w:before="0" w:after="0"/>
        <w:ind w:start="720" w:end="0"/>
        <w:rPr>
          <w:color w:val="000000"/>
        </w:rPr>
      </w:pPr>
      <w:r>
        <w:rPr>
          <w:color w:val="000000"/>
        </w:rPr>
      </w:r>
    </w:p>
    <w:p>
      <w:pPr>
        <w:pStyle w:val="BodyText"/>
        <w:keepNext w:val="true"/>
        <w:keepLines/>
        <w:spacing w:before="0" w:after="0"/>
        <w:ind w:start="720" w:end="0"/>
        <w:rPr>
          <w:color w:val="000000"/>
        </w:rPr>
      </w:pPr>
      <w:bookmarkStart w:id="562" w:name="_DV_M413"/>
      <w:bookmarkEnd w:id="562"/>
      <w:r>
        <w:rPr>
          <w:color w:val="000000"/>
        </w:rPr>
        <w:t>Telephone:  44 171 939 3406</w:t>
      </w:r>
    </w:p>
    <w:p>
      <w:pPr>
        <w:pStyle w:val="BodyText"/>
        <w:keepNext w:val="true"/>
        <w:keepLines/>
        <w:spacing w:before="0" w:after="0"/>
        <w:ind w:start="720" w:end="0"/>
        <w:rPr>
          <w:color w:val="000000"/>
        </w:rPr>
      </w:pPr>
      <w:bookmarkStart w:id="563" w:name="_DV_M414"/>
      <w:bookmarkEnd w:id="563"/>
      <w:r>
        <w:rPr>
          <w:color w:val="000000"/>
        </w:rPr>
        <w:t>Facsimile:  44 171 939 7192</w:t>
      </w:r>
    </w:p>
    <w:p>
      <w:pPr>
        <w:pStyle w:val="BodyText"/>
        <w:keepNext w:val="true"/>
        <w:keepLines/>
        <w:spacing w:before="0" w:after="0"/>
        <w:ind w:start="720" w:end="0"/>
        <w:rPr>
          <w:color w:val="000000"/>
        </w:rPr>
      </w:pPr>
      <w:r>
        <w:rPr>
          <w:color w:val="000000"/>
        </w:rPr>
      </w:r>
    </w:p>
    <w:p>
      <w:pPr>
        <w:pStyle w:val="Normal"/>
        <w:keepNext w:val="true"/>
        <w:keepLines/>
        <w:tabs>
          <w:tab w:val="clear" w:pos="720"/>
          <w:tab w:val="center" w:pos="0" w:leader="none"/>
        </w:tabs>
        <w:suppressAutoHyphens w:val="true"/>
        <w:rPr>
          <w:color w:val="000000"/>
        </w:rPr>
      </w:pPr>
      <w:bookmarkStart w:id="564" w:name="_DV_M415"/>
      <w:bookmarkEnd w:id="564"/>
      <w:r>
        <w:rPr>
          <w:color w:val="000000"/>
        </w:rPr>
        <w:t>(g)</w:t>
        <w:tab/>
        <w:t>If to SOTL to:</w:t>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0"/>
        <w:rPr>
          <w:color w:val="000000"/>
        </w:rPr>
      </w:pPr>
      <w:bookmarkStart w:id="565" w:name="_DV_M416"/>
      <w:bookmarkEnd w:id="565"/>
      <w:r>
        <w:rPr>
          <w:color w:val="000000"/>
        </w:rPr>
        <w:tab/>
        <w:t>Shell Overseas Trading Limited</w:t>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0"/>
        <w:rPr>
          <w:color w:val="000000"/>
        </w:rPr>
      </w:pPr>
      <w:bookmarkStart w:id="566" w:name="_DV_M417"/>
      <w:bookmarkEnd w:id="566"/>
      <w:r>
        <w:rPr>
          <w:color w:val="000000"/>
        </w:rPr>
        <w:tab/>
        <w:t>Attn:  General Manager</w:t>
      </w:r>
    </w:p>
    <w:p>
      <w:pPr>
        <w:pStyle w:val="Normal"/>
        <w:keepNext w:val="true"/>
        <w:keepLines/>
        <w:tabs>
          <w:tab w:val="left" w:pos="0" w:leader="none"/>
          <w:tab w:val="left" w:pos="720" w:leader="none"/>
          <w:tab w:val="left" w:pos="1440" w:leader="none"/>
        </w:tabs>
        <w:spacing w:before="0" w:after="0"/>
        <w:rPr>
          <w:color w:val="000000"/>
        </w:rPr>
      </w:pPr>
      <w:bookmarkStart w:id="567" w:name="_DV_M418"/>
      <w:bookmarkEnd w:id="567"/>
      <w:r>
        <w:rPr>
          <w:color w:val="000000"/>
        </w:rPr>
        <w:tab/>
        <w:t>Shell House, Ferry Reach</w:t>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0"/>
        <w:rPr>
          <w:color w:val="000000"/>
        </w:rPr>
      </w:pPr>
      <w:bookmarkStart w:id="568" w:name="_DV_M419"/>
      <w:bookmarkEnd w:id="568"/>
      <w:r>
        <w:rPr>
          <w:color w:val="000000"/>
        </w:rPr>
        <w:tab/>
        <w:t>P.O. Box GE 2</w:t>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0"/>
        <w:rPr>
          <w:color w:val="000000"/>
        </w:rPr>
      </w:pPr>
      <w:bookmarkStart w:id="569" w:name="_DV_M420"/>
      <w:bookmarkEnd w:id="569"/>
      <w:r>
        <w:rPr>
          <w:color w:val="000000"/>
        </w:rPr>
        <w:tab/>
        <w:t>St. George's GE BX</w:t>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0"/>
        <w:rPr>
          <w:color w:val="000000"/>
        </w:rPr>
      </w:pPr>
      <w:bookmarkStart w:id="570" w:name="_DV_M421"/>
      <w:bookmarkEnd w:id="570"/>
      <w:r>
        <w:rPr>
          <w:color w:val="000000"/>
        </w:rPr>
        <w:tab/>
        <w:t>Bermuda</w:t>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0"/>
        <w:rPr>
          <w:color w:val="000000"/>
        </w:rPr>
      </w:pPr>
      <w:r>
        <w:rPr>
          <w:color w:val="000000"/>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0"/>
        <w:rPr>
          <w:color w:val="000000"/>
        </w:rPr>
      </w:pPr>
      <w:bookmarkStart w:id="571" w:name="_DV_M422"/>
      <w:bookmarkEnd w:id="571"/>
      <w:r>
        <w:rPr>
          <w:color w:val="000000"/>
        </w:rPr>
        <w:tab/>
        <w:t>Telephone:  441-299-7015</w:t>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0"/>
        <w:rPr>
          <w:color w:val="000000"/>
        </w:rPr>
      </w:pPr>
      <w:bookmarkStart w:id="572" w:name="_DV_M423"/>
      <w:bookmarkEnd w:id="572"/>
      <w:r>
        <w:rPr>
          <w:color w:val="000000"/>
        </w:rPr>
        <w:tab/>
        <w:t>Facsimile:  441-297-0621</w:t>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0"/>
        <w:rPr>
          <w:color w:val="000000"/>
        </w:rPr>
      </w:pPr>
      <w:r>
        <w:rPr>
          <w:color w:val="000000"/>
        </w:rPr>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0"/>
        <w:rPr>
          <w:color w:val="000000"/>
        </w:rPr>
      </w:pPr>
      <w:bookmarkStart w:id="573" w:name="_DV_M424"/>
      <w:bookmarkEnd w:id="573"/>
      <w:r>
        <w:rPr>
          <w:color w:val="000000"/>
        </w:rPr>
        <w:tab/>
        <w:t>With a copy to:</w:t>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0"/>
        <w:rPr>
          <w:color w:val="000000"/>
        </w:rPr>
      </w:pPr>
      <w:r>
        <w:rPr>
          <w:color w:val="000000"/>
        </w:rPr>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0"/>
        <w:rPr>
          <w:color w:val="000000"/>
        </w:rPr>
      </w:pPr>
      <w:bookmarkStart w:id="574" w:name="_DV_M425"/>
      <w:bookmarkEnd w:id="574"/>
      <w:r>
        <w:rPr>
          <w:color w:val="000000"/>
        </w:rPr>
        <w:tab/>
        <w:t>Shell International Gas Limited</w:t>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0"/>
        <w:rPr>
          <w:color w:val="000000"/>
        </w:rPr>
      </w:pPr>
      <w:bookmarkStart w:id="575" w:name="_DV_M426"/>
      <w:bookmarkEnd w:id="575"/>
      <w:r>
        <w:rPr>
          <w:color w:val="000000"/>
        </w:rPr>
        <w:tab/>
        <w:t>Attn:  Director Latin America: GPS</w:t>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0"/>
        <w:rPr>
          <w:color w:val="000000"/>
        </w:rPr>
      </w:pPr>
      <w:bookmarkStart w:id="576" w:name="_DV_M427"/>
      <w:bookmarkEnd w:id="576"/>
      <w:r>
        <w:rPr>
          <w:color w:val="000000"/>
        </w:rPr>
        <w:tab/>
        <w:t>Shell Centre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0"/>
        <w:rPr>
          <w:color w:val="000000"/>
        </w:rPr>
      </w:pPr>
      <w:bookmarkStart w:id="577" w:name="_DV_M428"/>
      <w:bookmarkEnd w:id="577"/>
      <w:r>
        <w:rPr>
          <w:color w:val="000000"/>
        </w:rPr>
        <w:tab/>
        <w:t>London SE17NA</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0"/>
        <w:rPr>
          <w:color w:val="000000"/>
        </w:rPr>
      </w:pPr>
      <w:r>
        <w:rPr>
          <w:color w:val="00000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0"/>
        <w:rPr>
          <w:color w:val="000000"/>
        </w:rPr>
      </w:pPr>
      <w:bookmarkStart w:id="578" w:name="_DV_M429"/>
      <w:bookmarkEnd w:id="578"/>
      <w:r>
        <w:rPr>
          <w:color w:val="000000"/>
        </w:rPr>
        <w:tab/>
        <w:t>Telephone:  44 171 939 3406</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0"/>
        <w:rPr>
          <w:color w:val="000000"/>
        </w:rPr>
      </w:pPr>
      <w:bookmarkStart w:id="579" w:name="_DV_M430"/>
      <w:bookmarkEnd w:id="579"/>
      <w:r>
        <w:rPr>
          <w:color w:val="000000"/>
        </w:rPr>
        <w:tab/>
        <w:t>Facsimile:  44 171 939 7192</w:t>
      </w:r>
    </w:p>
    <w:p>
      <w:pPr>
        <w:pStyle w:val="BodyText"/>
        <w:spacing w:before="0" w:after="0"/>
        <w:rPr>
          <w:color w:val="000000"/>
        </w:rPr>
      </w:pPr>
      <w:r>
        <w:rPr>
          <w:color w:val="000000"/>
        </w:rPr>
      </w:r>
    </w:p>
    <w:p>
      <w:pPr>
        <w:pStyle w:val="BodyText"/>
        <w:keepNext w:val="true"/>
        <w:keepLines/>
        <w:spacing w:before="0" w:after="0"/>
        <w:rPr>
          <w:color w:val="000000"/>
        </w:rPr>
      </w:pPr>
      <w:bookmarkStart w:id="580" w:name="_DV_M431"/>
      <w:bookmarkEnd w:id="580"/>
      <w:r>
        <w:rPr>
          <w:color w:val="000000"/>
        </w:rPr>
        <w:t>(h)</w:t>
        <w:tab/>
        <w:t>If to EPE at:</w:t>
      </w:r>
    </w:p>
    <w:p>
      <w:pPr>
        <w:pStyle w:val="BodyText"/>
        <w:keepNext w:val="true"/>
        <w:keepLines/>
        <w:spacing w:before="0" w:after="0"/>
        <w:ind w:firstLine="720" w:start="720" w:end="0"/>
        <w:rPr>
          <w:color w:val="000000"/>
        </w:rPr>
      </w:pPr>
      <w:r>
        <w:rPr>
          <w:color w:val="000000"/>
        </w:rPr>
      </w:r>
    </w:p>
    <w:p>
      <w:pPr>
        <w:pStyle w:val="BodyText"/>
        <w:keepNext w:val="true"/>
        <w:keepLines/>
        <w:spacing w:before="0" w:after="0"/>
        <w:ind w:start="720" w:end="0"/>
        <w:rPr>
          <w:color w:val="000000"/>
          <w:lang w:val="es-ES"/>
        </w:rPr>
      </w:pPr>
      <w:bookmarkStart w:id="581" w:name="_DV_M432"/>
      <w:bookmarkEnd w:id="581"/>
      <w:r>
        <w:rPr>
          <w:color w:val="000000"/>
          <w:lang w:val="es-ES"/>
        </w:rPr>
        <w:t>EPE–Empresa Produtora de Energia Ltda.</w:t>
      </w:r>
    </w:p>
    <w:p>
      <w:pPr>
        <w:pStyle w:val="BodyText"/>
        <w:keepNext w:val="true"/>
        <w:keepLines/>
        <w:spacing w:before="0" w:after="0"/>
        <w:rPr>
          <w:color w:val="000000"/>
          <w:lang w:val="es-ES"/>
        </w:rPr>
      </w:pPr>
      <w:bookmarkStart w:id="582" w:name="_DV_M433"/>
      <w:bookmarkEnd w:id="582"/>
      <w:r>
        <w:rPr>
          <w:color w:val="000000"/>
          <w:lang w:val="es-ES"/>
        </w:rPr>
        <w:tab/>
        <w:t>Rodovia dos Imigrantes no. 3770</w:t>
      </w:r>
    </w:p>
    <w:p>
      <w:pPr>
        <w:pStyle w:val="BodyText"/>
        <w:spacing w:before="0" w:after="0"/>
        <w:rPr>
          <w:color w:val="000000"/>
          <w:lang w:val="es-ES"/>
        </w:rPr>
      </w:pPr>
      <w:bookmarkStart w:id="583" w:name="_DV_M434"/>
      <w:bookmarkEnd w:id="583"/>
      <w:r>
        <w:rPr>
          <w:color w:val="000000"/>
          <w:lang w:val="es-ES"/>
        </w:rPr>
        <w:tab/>
        <w:t>Distrito Industrial</w:t>
      </w:r>
    </w:p>
    <w:p>
      <w:pPr>
        <w:pStyle w:val="BodyText"/>
        <w:spacing w:before="0" w:after="0"/>
        <w:rPr>
          <w:color w:val="000000"/>
          <w:lang w:val="es-ES"/>
        </w:rPr>
      </w:pPr>
      <w:bookmarkStart w:id="584" w:name="_DV_M435"/>
      <w:bookmarkEnd w:id="584"/>
      <w:r>
        <w:rPr>
          <w:color w:val="000000"/>
          <w:lang w:val="es-ES"/>
        </w:rPr>
        <w:tab/>
        <w:t>Cuiabá, Mato Grosso, Brazil</w:t>
      </w:r>
    </w:p>
    <w:p>
      <w:pPr>
        <w:pStyle w:val="BodyText"/>
        <w:spacing w:before="0" w:after="0"/>
        <w:rPr/>
      </w:pPr>
      <w:bookmarkStart w:id="585" w:name="_DV_M436"/>
      <w:bookmarkEnd w:id="585"/>
      <w:r>
        <w:rPr>
          <w:color w:val="000000"/>
          <w:lang w:val="es-ES"/>
        </w:rPr>
        <w:tab/>
      </w:r>
      <w:r>
        <w:rPr>
          <w:color w:val="000000"/>
        </w:rPr>
        <w:t>CEP 78098-840</w:t>
      </w:r>
    </w:p>
    <w:p>
      <w:pPr>
        <w:pStyle w:val="BodyText"/>
        <w:tabs>
          <w:tab w:val="clear" w:pos="720"/>
          <w:tab w:val="left" w:pos="1440" w:leader="none"/>
        </w:tabs>
        <w:spacing w:before="0" w:after="0"/>
        <w:rPr>
          <w:color w:val="000000"/>
        </w:rPr>
      </w:pPr>
      <w:bookmarkStart w:id="586" w:name="_DV_M437"/>
      <w:bookmarkEnd w:id="586"/>
      <w:r>
        <w:rPr>
          <w:color w:val="000000"/>
        </w:rPr>
        <w:tab/>
      </w:r>
    </w:p>
    <w:p>
      <w:pPr>
        <w:pStyle w:val="BodyText"/>
        <w:spacing w:before="0" w:after="0"/>
        <w:rPr>
          <w:color w:val="000000"/>
        </w:rPr>
      </w:pPr>
      <w:bookmarkStart w:id="587" w:name="_DV_M438"/>
      <w:bookmarkEnd w:id="587"/>
      <w:r>
        <w:rPr>
          <w:color w:val="000000"/>
        </w:rPr>
        <w:tab/>
        <w:t xml:space="preserve">Telephone: </w:t>
      </w:r>
    </w:p>
    <w:p>
      <w:pPr>
        <w:pStyle w:val="BodyText"/>
        <w:spacing w:before="0" w:after="0"/>
        <w:rPr>
          <w:color w:val="000000"/>
        </w:rPr>
      </w:pPr>
      <w:bookmarkStart w:id="588" w:name="_DV_M439"/>
      <w:bookmarkEnd w:id="588"/>
      <w:r>
        <w:rPr>
          <w:color w:val="000000"/>
        </w:rPr>
        <w:tab/>
        <w:t>Facsimile:  55-65-624-4814</w:t>
      </w:r>
    </w:p>
    <w:p>
      <w:pPr>
        <w:pStyle w:val="BodyText"/>
        <w:spacing w:before="0" w:after="0"/>
        <w:rPr>
          <w:color w:val="000000"/>
        </w:rPr>
      </w:pPr>
      <w:r>
        <w:rPr>
          <w:color w:val="000000"/>
        </w:rPr>
      </w:r>
    </w:p>
    <w:p>
      <w:pPr>
        <w:pStyle w:val="BodyText"/>
        <w:keepNext w:val="true"/>
        <w:spacing w:before="0" w:after="0"/>
        <w:rPr>
          <w:color w:val="000000"/>
        </w:rPr>
      </w:pPr>
      <w:bookmarkStart w:id="589" w:name="_DV_M440"/>
      <w:bookmarkEnd w:id="589"/>
      <w:r>
        <w:rPr>
          <w:color w:val="000000"/>
        </w:rPr>
        <w:t>(i)</w:t>
        <w:tab/>
        <w:t>If to GasBol at:</w:t>
      </w:r>
    </w:p>
    <w:p>
      <w:pPr>
        <w:pStyle w:val="BodyText"/>
        <w:keepNext w:val="true"/>
        <w:spacing w:before="0" w:after="0"/>
        <w:rPr>
          <w:color w:val="000000"/>
        </w:rPr>
      </w:pPr>
      <w:bookmarkStart w:id="590" w:name="_DV_M441"/>
      <w:bookmarkEnd w:id="590"/>
      <w:r>
        <w:rPr>
          <w:color w:val="000000"/>
        </w:rPr>
        <w:tab/>
        <w:tab/>
      </w:r>
    </w:p>
    <w:p>
      <w:pPr>
        <w:pStyle w:val="BodyText"/>
        <w:keepNext w:val="true"/>
        <w:spacing w:before="0" w:after="0"/>
        <w:rPr/>
      </w:pPr>
      <w:bookmarkStart w:id="591" w:name="_DV_M442"/>
      <w:bookmarkEnd w:id="591"/>
      <w:r>
        <w:rPr>
          <w:color w:val="000000"/>
        </w:rPr>
        <w:tab/>
      </w:r>
      <w:r>
        <w:rPr>
          <w:color w:val="000000"/>
          <w:lang w:val="es-ES"/>
        </w:rPr>
        <w:t>GasOriente Boliviano</w:t>
      </w:r>
    </w:p>
    <w:p>
      <w:pPr>
        <w:pStyle w:val="BodyText"/>
        <w:keepNext w:val="true"/>
        <w:spacing w:before="0" w:after="0"/>
        <w:ind w:firstLine="720" w:end="0"/>
        <w:rPr>
          <w:color w:val="000000"/>
          <w:lang w:val="es-ES"/>
        </w:rPr>
      </w:pPr>
      <w:bookmarkStart w:id="592" w:name="_DV_M443"/>
      <w:bookmarkEnd w:id="592"/>
      <w:r>
        <w:rPr>
          <w:color w:val="000000"/>
          <w:lang w:val="es-ES"/>
        </w:rPr>
        <w:t>Avenida Piraí No. 272</w:t>
      </w:r>
    </w:p>
    <w:p>
      <w:pPr>
        <w:pStyle w:val="BodyText"/>
        <w:spacing w:before="0" w:after="0"/>
        <w:rPr>
          <w:color w:val="000000"/>
          <w:lang w:val="es-ES"/>
        </w:rPr>
      </w:pPr>
      <w:bookmarkStart w:id="593" w:name="_DV_M444"/>
      <w:bookmarkEnd w:id="593"/>
      <w:r>
        <w:rPr>
          <w:color w:val="000000"/>
          <w:lang w:val="es-ES"/>
        </w:rPr>
        <w:tab/>
        <w:t>Santa Cruz de la Sierra, Bolivia</w:t>
      </w:r>
    </w:p>
    <w:p>
      <w:pPr>
        <w:pStyle w:val="BodyText"/>
        <w:tabs>
          <w:tab w:val="clear" w:pos="720"/>
          <w:tab w:val="left" w:pos="4320" w:leader="none"/>
        </w:tabs>
        <w:spacing w:before="0" w:after="0"/>
        <w:rPr>
          <w:color w:val="000000"/>
          <w:lang w:val="es-ES"/>
        </w:rPr>
      </w:pPr>
      <w:r>
        <w:rPr>
          <w:color w:val="000000"/>
          <w:lang w:val="es-ES"/>
        </w:rPr>
      </w:r>
    </w:p>
    <w:p>
      <w:pPr>
        <w:pStyle w:val="BodyText"/>
        <w:spacing w:before="0" w:after="0"/>
        <w:rPr/>
      </w:pPr>
      <w:bookmarkStart w:id="594" w:name="_DV_M445"/>
      <w:bookmarkEnd w:id="594"/>
      <w:r>
        <w:rPr>
          <w:color w:val="000000"/>
          <w:lang w:val="es-ES"/>
        </w:rPr>
        <w:tab/>
      </w:r>
      <w:r>
        <w:rPr>
          <w:color w:val="000000"/>
        </w:rPr>
        <w:t xml:space="preserve">Telephone:  </w:t>
      </w:r>
    </w:p>
    <w:p>
      <w:pPr>
        <w:pStyle w:val="BodyText"/>
        <w:spacing w:before="0" w:after="0"/>
        <w:rPr>
          <w:color w:val="000000"/>
        </w:rPr>
      </w:pPr>
      <w:bookmarkStart w:id="595" w:name="_DV_M446"/>
      <w:bookmarkEnd w:id="595"/>
      <w:r>
        <w:rPr>
          <w:color w:val="000000"/>
        </w:rPr>
        <w:tab/>
        <w:t>Facsimile:  55-65-624-4814</w:t>
      </w:r>
    </w:p>
    <w:p>
      <w:pPr>
        <w:pStyle w:val="BodyText"/>
        <w:spacing w:before="0" w:after="0"/>
        <w:rPr>
          <w:color w:val="000000"/>
        </w:rPr>
      </w:pPr>
      <w:r>
        <w:rPr>
          <w:color w:val="000000"/>
        </w:rPr>
      </w:r>
    </w:p>
    <w:p>
      <w:pPr>
        <w:pStyle w:val="BodyText"/>
        <w:keepNext w:val="true"/>
        <w:keepLines/>
        <w:spacing w:before="0" w:after="0"/>
        <w:rPr>
          <w:color w:val="000000"/>
        </w:rPr>
      </w:pPr>
      <w:bookmarkStart w:id="596" w:name="_DV_M447"/>
      <w:bookmarkEnd w:id="596"/>
      <w:r>
        <w:rPr>
          <w:color w:val="000000"/>
        </w:rPr>
        <w:t>(j)</w:t>
        <w:tab/>
        <w:t>If to GasMat to:</w:t>
      </w:r>
    </w:p>
    <w:p>
      <w:pPr>
        <w:pStyle w:val="BodyText"/>
        <w:keepNext w:val="true"/>
        <w:keepLines/>
        <w:spacing w:before="0" w:after="0"/>
        <w:ind w:firstLine="720" w:start="720" w:end="0"/>
        <w:rPr>
          <w:color w:val="000000"/>
        </w:rPr>
      </w:pPr>
      <w:r>
        <w:rPr>
          <w:color w:val="000000"/>
        </w:rPr>
      </w:r>
    </w:p>
    <w:p>
      <w:pPr>
        <w:pStyle w:val="BodyText"/>
        <w:keepNext w:val="true"/>
        <w:keepLines/>
        <w:spacing w:before="0" w:after="0"/>
        <w:ind w:start="720" w:end="0"/>
        <w:rPr>
          <w:color w:val="000000"/>
          <w:lang w:val="es-ES"/>
        </w:rPr>
      </w:pPr>
      <w:bookmarkStart w:id="597" w:name="_DV_M448"/>
      <w:bookmarkEnd w:id="597"/>
      <w:r>
        <w:rPr>
          <w:color w:val="000000"/>
          <w:lang w:val="es-ES"/>
        </w:rPr>
        <w:t>GasOcidente do Mato Grosso</w:t>
      </w:r>
    </w:p>
    <w:p>
      <w:pPr>
        <w:pStyle w:val="BodyText"/>
        <w:keepNext w:val="true"/>
        <w:keepLines/>
        <w:spacing w:before="0" w:after="0"/>
        <w:rPr>
          <w:color w:val="000000"/>
          <w:lang w:val="es-ES"/>
        </w:rPr>
      </w:pPr>
      <w:bookmarkStart w:id="598" w:name="_DV_M449"/>
      <w:bookmarkEnd w:id="598"/>
      <w:r>
        <w:rPr>
          <w:color w:val="000000"/>
          <w:lang w:val="es-ES"/>
        </w:rPr>
        <w:tab/>
        <w:t>Rodovia dos Imigrantes no. 3770</w:t>
      </w:r>
    </w:p>
    <w:p>
      <w:pPr>
        <w:pStyle w:val="BodyText"/>
        <w:keepNext w:val="true"/>
        <w:keepLines/>
        <w:spacing w:before="0" w:after="0"/>
        <w:rPr>
          <w:color w:val="000000"/>
          <w:lang w:val="es-ES"/>
        </w:rPr>
      </w:pPr>
      <w:bookmarkStart w:id="599" w:name="_DV_M450"/>
      <w:bookmarkEnd w:id="599"/>
      <w:r>
        <w:rPr>
          <w:color w:val="000000"/>
          <w:lang w:val="es-ES"/>
        </w:rPr>
        <w:tab/>
        <w:t>Distrito Industrial</w:t>
      </w:r>
    </w:p>
    <w:p>
      <w:pPr>
        <w:pStyle w:val="BodyText"/>
        <w:keepNext w:val="true"/>
        <w:keepLines/>
        <w:spacing w:before="0" w:after="0"/>
        <w:rPr>
          <w:color w:val="000000"/>
          <w:lang w:val="es-ES"/>
        </w:rPr>
      </w:pPr>
      <w:bookmarkStart w:id="600" w:name="_DV_M451"/>
      <w:bookmarkEnd w:id="600"/>
      <w:r>
        <w:rPr>
          <w:color w:val="000000"/>
          <w:lang w:val="es-ES"/>
        </w:rPr>
        <w:tab/>
        <w:t>Cuiaba, Mato Grosso, Brazil</w:t>
      </w:r>
    </w:p>
    <w:p>
      <w:pPr>
        <w:pStyle w:val="BodyText"/>
        <w:keepNext w:val="true"/>
        <w:keepLines/>
        <w:spacing w:before="0" w:after="0"/>
        <w:rPr/>
      </w:pPr>
      <w:bookmarkStart w:id="601" w:name="_DV_M452"/>
      <w:bookmarkEnd w:id="601"/>
      <w:r>
        <w:rPr>
          <w:color w:val="000000"/>
          <w:lang w:val="es-ES"/>
        </w:rPr>
        <w:tab/>
      </w:r>
      <w:r>
        <w:rPr>
          <w:color w:val="000000"/>
        </w:rPr>
        <w:t>CEP 78098-840</w:t>
      </w:r>
    </w:p>
    <w:p>
      <w:pPr>
        <w:pStyle w:val="BodyText"/>
        <w:keepNext w:val="true"/>
        <w:keepLines/>
        <w:spacing w:before="0" w:after="0"/>
        <w:rPr>
          <w:color w:val="000000"/>
        </w:rPr>
      </w:pPr>
      <w:r>
        <w:rPr>
          <w:color w:val="000000"/>
        </w:rPr>
      </w:r>
    </w:p>
    <w:p>
      <w:pPr>
        <w:pStyle w:val="BodyText"/>
        <w:keepNext w:val="true"/>
        <w:keepLines/>
        <w:spacing w:before="0" w:after="0"/>
        <w:rPr>
          <w:color w:val="000000"/>
        </w:rPr>
      </w:pPr>
      <w:bookmarkStart w:id="602" w:name="_DV_M453"/>
      <w:bookmarkEnd w:id="602"/>
      <w:r>
        <w:rPr>
          <w:color w:val="000000"/>
        </w:rPr>
        <w:tab/>
        <w:t>Telephone:</w:t>
        <w:tab/>
        <w:tab/>
      </w:r>
    </w:p>
    <w:p>
      <w:pPr>
        <w:pStyle w:val="BodyText"/>
        <w:keepNext w:val="true"/>
        <w:keepLines/>
        <w:spacing w:before="0" w:after="0"/>
        <w:ind w:start="720" w:end="0"/>
        <w:rPr>
          <w:color w:val="000000"/>
        </w:rPr>
      </w:pPr>
      <w:bookmarkStart w:id="603" w:name="_DV_M454"/>
      <w:bookmarkEnd w:id="603"/>
      <w:r>
        <w:rPr>
          <w:color w:val="000000"/>
        </w:rPr>
        <w:t>Facsimile:  55-65-624-4814</w:t>
      </w:r>
    </w:p>
    <w:p>
      <w:pPr>
        <w:pStyle w:val="BodyText"/>
        <w:keepNext w:val="true"/>
        <w:keepLines/>
        <w:spacing w:before="0" w:after="0"/>
        <w:rPr>
          <w:color w:val="000000"/>
        </w:rPr>
      </w:pPr>
      <w:r>
        <w:rPr>
          <w:color w:val="000000"/>
        </w:rPr>
      </w:r>
    </w:p>
    <w:p>
      <w:pPr>
        <w:pStyle w:val="BodyText"/>
        <w:keepNext w:val="true"/>
        <w:spacing w:before="0" w:after="0"/>
        <w:rPr>
          <w:color w:val="000000"/>
        </w:rPr>
      </w:pPr>
      <w:bookmarkStart w:id="604" w:name="_DV_M455"/>
      <w:bookmarkEnd w:id="604"/>
      <w:r>
        <w:rPr>
          <w:color w:val="000000"/>
        </w:rPr>
        <w:t>(k)</w:t>
        <w:tab/>
        <w:t>If to the Common Agent, at:</w:t>
      </w:r>
    </w:p>
    <w:p>
      <w:pPr>
        <w:pStyle w:val="BodyText"/>
        <w:keepNext w:val="true"/>
        <w:spacing w:before="0" w:after="0"/>
        <w:rPr>
          <w:color w:val="000000"/>
        </w:rPr>
      </w:pPr>
      <w:r>
        <w:rPr>
          <w:color w:val="000000"/>
        </w:rPr>
      </w:r>
    </w:p>
    <w:p>
      <w:pPr>
        <w:pStyle w:val="BodyText"/>
        <w:keepNext w:val="true"/>
        <w:spacing w:before="0" w:after="0"/>
        <w:rPr>
          <w:color w:val="000000"/>
        </w:rPr>
      </w:pPr>
      <w:bookmarkStart w:id="605" w:name="_DV_M456"/>
      <w:bookmarkEnd w:id="605"/>
      <w:r>
        <w:rPr>
          <w:color w:val="000000"/>
        </w:rPr>
        <w:tab/>
        <w:t>Citibank, N.A.</w:t>
      </w:r>
    </w:p>
    <w:p>
      <w:pPr>
        <w:pStyle w:val="BodyText"/>
        <w:keepNext w:val="true"/>
        <w:spacing w:before="0" w:after="0"/>
        <w:rPr>
          <w:color w:val="000000"/>
        </w:rPr>
      </w:pPr>
      <w:bookmarkStart w:id="606" w:name="_DV_M457"/>
      <w:bookmarkEnd w:id="606"/>
      <w:r>
        <w:rPr>
          <w:color w:val="000000"/>
        </w:rPr>
        <w:tab/>
        <w:t>111 Wall Street</w:t>
      </w:r>
    </w:p>
    <w:p>
      <w:pPr>
        <w:pStyle w:val="BodyText"/>
        <w:keepNext w:val="true"/>
        <w:spacing w:before="0" w:after="0"/>
        <w:rPr>
          <w:color w:val="000000"/>
        </w:rPr>
      </w:pPr>
      <w:bookmarkStart w:id="607" w:name="_DV_M458"/>
      <w:bookmarkEnd w:id="607"/>
      <w:r>
        <w:rPr>
          <w:color w:val="000000"/>
        </w:rPr>
        <w:tab/>
        <w:t>New York, New York 10005</w:t>
      </w:r>
    </w:p>
    <w:p>
      <w:pPr>
        <w:pStyle w:val="BodyText"/>
        <w:keepNext w:val="true"/>
        <w:spacing w:before="0" w:after="0"/>
        <w:rPr>
          <w:color w:val="000000"/>
        </w:rPr>
      </w:pPr>
      <w:bookmarkStart w:id="608" w:name="_DV_M459"/>
      <w:bookmarkEnd w:id="608"/>
      <w:r>
        <w:rPr>
          <w:color w:val="000000"/>
        </w:rPr>
        <w:tab/>
        <w:t>Attention:   Global Agency and Trust Services</w:t>
      </w:r>
    </w:p>
    <w:p>
      <w:pPr>
        <w:pStyle w:val="BodyText"/>
        <w:keepNext w:val="true"/>
        <w:spacing w:before="0" w:after="0"/>
        <w:rPr>
          <w:color w:val="000000"/>
        </w:rPr>
      </w:pPr>
      <w:bookmarkStart w:id="609" w:name="_DV_M460"/>
      <w:bookmarkEnd w:id="609"/>
      <w:r>
        <w:rPr>
          <w:color w:val="000000"/>
        </w:rPr>
        <w:tab/>
        <w:tab/>
      </w:r>
    </w:p>
    <w:p>
      <w:pPr>
        <w:pStyle w:val="BodyText"/>
        <w:spacing w:before="0" w:after="0"/>
        <w:rPr>
          <w:color w:val="000000"/>
        </w:rPr>
      </w:pPr>
      <w:bookmarkStart w:id="610" w:name="_DV_M461"/>
      <w:bookmarkEnd w:id="610"/>
      <w:r>
        <w:rPr>
          <w:color w:val="000000"/>
        </w:rPr>
        <w:tab/>
        <w:t>Telephone:   212-657-5933</w:t>
      </w:r>
    </w:p>
    <w:p>
      <w:pPr>
        <w:pStyle w:val="BodyText"/>
        <w:rPr>
          <w:color w:val="000000"/>
        </w:rPr>
      </w:pPr>
      <w:bookmarkStart w:id="611" w:name="_DV_M462"/>
      <w:bookmarkEnd w:id="611"/>
      <w:r>
        <w:rPr>
          <w:color w:val="000000"/>
        </w:rPr>
        <w:tab/>
        <w:t>Facsimile:   212 657-3866</w:t>
      </w:r>
    </w:p>
    <w:p>
      <w:pPr>
        <w:pStyle w:val="Heading3"/>
        <w:ind w:hanging="0" w:start="0"/>
        <w:rPr>
          <w:color w:val="000000"/>
        </w:rPr>
      </w:pPr>
      <w:bookmarkStart w:id="612" w:name="__RefHeading___Toc490591592"/>
      <w:bookmarkStart w:id="613" w:name="_DV_M463"/>
      <w:bookmarkEnd w:id="612"/>
      <w:bookmarkEnd w:id="613"/>
      <w:r>
        <w:rPr>
          <w:color w:val="000000"/>
        </w:rPr>
        <w:t>10.4</w:t>
        <w:tab/>
        <w:t>Successors and Assigns.</w:t>
      </w:r>
    </w:p>
    <w:p>
      <w:pPr>
        <w:pStyle w:val="BodyText"/>
        <w:rPr>
          <w:color w:val="000000"/>
        </w:rPr>
      </w:pPr>
      <w:bookmarkStart w:id="614" w:name="_DV_M464"/>
      <w:bookmarkEnd w:id="614"/>
      <w:r>
        <w:rPr>
          <w:color w:val="000000"/>
        </w:rPr>
        <w:t>This Agreement shall be binding upon the Shareholders, the Sponsors, and their respective successors and permitted assigns  and inure to the benefit of the Common Agent, on behalf of the Lenders and the other Secured Parties, and the Borrowers and their respective successors and  permitted assigns.  Except as expressly permitted in connection with a Permitted Transfer, this Agreement may not be assigned by the Shareholders or the Sponsors.</w:t>
      </w:r>
    </w:p>
    <w:p>
      <w:pPr>
        <w:pStyle w:val="Heading3"/>
        <w:ind w:hanging="0" w:start="0"/>
        <w:rPr>
          <w:color w:val="000000"/>
        </w:rPr>
      </w:pPr>
      <w:bookmarkStart w:id="615" w:name="__RefHeading___Toc490591593"/>
      <w:bookmarkStart w:id="616" w:name="_DV_M465"/>
      <w:bookmarkEnd w:id="615"/>
      <w:bookmarkEnd w:id="616"/>
      <w:r>
        <w:rPr>
          <w:color w:val="000000"/>
        </w:rPr>
        <w:t>10.5</w:t>
        <w:tab/>
        <w:t>Amendments, Etc.</w:t>
      </w:r>
    </w:p>
    <w:p>
      <w:pPr>
        <w:pStyle w:val="BodyText"/>
        <w:rPr/>
      </w:pPr>
      <w:bookmarkStart w:id="617" w:name="_DV_M466"/>
      <w:bookmarkEnd w:id="617"/>
      <w:r>
        <w:rPr>
          <w:color w:val="000000"/>
        </w:rPr>
        <w:t xml:space="preserve">Except as otherwise provided herein, neither this Agreement nor any of the terms hereof may be changed, waived, discharged, or terminated unless such change, waiver, discharge, or termination is in writing and signed by the Shareholders, the Sponsors, the Borrowers, and the Lenders and then such change, waiver or consent shall be effective only in the specific instance and for the specific purpose for which given; </w:t>
      </w:r>
      <w:r>
        <w:rPr>
          <w:b/>
          <w:bCs/>
          <w:i/>
          <w:iCs/>
          <w:color w:val="000000"/>
        </w:rPr>
        <w:t>provided</w:t>
      </w:r>
      <w:r>
        <w:rPr>
          <w:i/>
          <w:iCs/>
          <w:color w:val="000000"/>
        </w:rPr>
        <w:t xml:space="preserve"> </w:t>
      </w:r>
      <w:r>
        <w:rPr>
          <w:color w:val="000000"/>
        </w:rPr>
        <w:t xml:space="preserve">that the Common Agent shall not be required to sign any waiver requested by the Borrowers hereunder; and </w:t>
      </w:r>
      <w:r>
        <w:rPr>
          <w:b/>
          <w:bCs/>
          <w:i/>
          <w:iCs/>
          <w:color w:val="000000"/>
        </w:rPr>
        <w:t>provided further</w:t>
      </w:r>
      <w:r>
        <w:rPr>
          <w:color w:val="000000"/>
        </w:rPr>
        <w:t xml:space="preserve"> that any sale, transfer, lease or other disposition by any Shareholder of its equity interest in any Borrower, except pursuant to a Permitted Transfer, shall require the consent of each Secured Party.  </w:t>
      </w:r>
    </w:p>
    <w:p>
      <w:pPr>
        <w:pStyle w:val="Heading3"/>
        <w:ind w:hanging="0" w:start="0"/>
        <w:rPr>
          <w:color w:val="000000"/>
        </w:rPr>
      </w:pPr>
      <w:bookmarkStart w:id="618" w:name="__RefHeading___Toc490591594"/>
      <w:bookmarkStart w:id="619" w:name="_DV_M467"/>
      <w:bookmarkEnd w:id="619"/>
      <w:r>
        <w:rPr>
          <w:color w:val="000000"/>
        </w:rPr>
        <w:t>10.6</w:t>
        <w:tab/>
        <w:t>Remedies.</w:t>
      </w:r>
      <w:bookmarkStart w:id="620" w:name="_DV_M468"/>
      <w:bookmarkEnd w:id="618"/>
      <w:bookmarkEnd w:id="620"/>
      <w:r>
        <w:rPr>
          <w:color w:val="000000"/>
        </w:rPr>
        <w:t xml:space="preserve">  </w:t>
      </w:r>
    </w:p>
    <w:p>
      <w:pPr>
        <w:pStyle w:val="a"/>
        <w:rPr>
          <w:color w:val="000000"/>
        </w:rPr>
      </w:pPr>
      <w:bookmarkStart w:id="621" w:name="_DV_M469"/>
      <w:bookmarkEnd w:id="621"/>
      <w:r>
        <w:rPr>
          <w:color w:val="000000"/>
        </w:rPr>
        <w:t>(a)</w:t>
        <w:tab/>
        <w:t>No remedy herein conferred upon or reserved to any party is intended to be exclusive of any other available remedy or remedies, but each and every such remedy shall be cumulative and shall be in addition to every other remedy given under this Agreement or now or hereafter existing at law or in equity or by statute. In order to entitle any party to exercise any remedy reserved to it in this Agreement, it shall not be necessary to give any notice, other than such notice as may be expressly required by this Agreement.   Except as provided in Section 4.9, no notice to or demand on any Shareholder or any Sponsor in any case shall entitle it to any other or further notice or demand in the same or similar circumstances.</w:t>
      </w:r>
    </w:p>
    <w:p>
      <w:pPr>
        <w:pStyle w:val="a"/>
        <w:rPr>
          <w:color w:val="000000"/>
        </w:rPr>
      </w:pPr>
      <w:bookmarkStart w:id="622" w:name="_DV_M470"/>
      <w:bookmarkEnd w:id="622"/>
      <w:r>
        <w:rPr>
          <w:color w:val="000000"/>
        </w:rPr>
        <w:t>(b)</w:t>
        <w:tab/>
        <w:t>Each Secured Party  may proceed to protect and enforce its rights hereunder in any court or other tribunal by an action at law, suit in equity, or other appropriate proceedings, whether for damages, for the specific performance of any term hereof, or otherwise, or in aid of the exercise of any power granted hereby or by law.  Each Shareholder and Sponsor agrees to pay to each Secured Party on demand its pro rata share (determined by reference to such Shareholder's or Sponsor's equity interest in any defaulting party) of such amount in U.S. Dollars as shall be sufficient to cover its reasonable costs and expenses of any action or such remedies, including, without limitation, (subject to any separate written agreements relating thereto between the Shareholder and such Secured Party, as the case may be) attorneys’ fees, expenses, and disbursements, subject to receipt of an invoice setting forth in reasonable detail the costs and expenses requested to be paid.</w:t>
      </w:r>
    </w:p>
    <w:p>
      <w:pPr>
        <w:pStyle w:val="Heading3"/>
        <w:ind w:hanging="0" w:start="0"/>
        <w:rPr>
          <w:color w:val="000000"/>
        </w:rPr>
      </w:pPr>
      <w:bookmarkStart w:id="623" w:name="__RefHeading___Toc490591595"/>
      <w:bookmarkStart w:id="624" w:name="_DV_M471"/>
      <w:bookmarkEnd w:id="624"/>
      <w:r>
        <w:rPr>
          <w:color w:val="000000"/>
        </w:rPr>
        <w:t>10.7</w:t>
        <w:tab/>
        <w:t>Headings.</w:t>
      </w:r>
      <w:bookmarkStart w:id="625" w:name="_DV_M472"/>
      <w:bookmarkEnd w:id="623"/>
      <w:bookmarkEnd w:id="625"/>
      <w:r>
        <w:rPr>
          <w:color w:val="000000"/>
        </w:rPr>
        <w:t xml:space="preserve">  </w:t>
      </w:r>
    </w:p>
    <w:p>
      <w:pPr>
        <w:pStyle w:val="BodyText"/>
        <w:rPr>
          <w:color w:val="000000"/>
        </w:rPr>
      </w:pPr>
      <w:bookmarkStart w:id="626" w:name="_DV_M473"/>
      <w:bookmarkEnd w:id="626"/>
      <w:r>
        <w:rPr>
          <w:color w:val="000000"/>
        </w:rPr>
        <w:t xml:space="preserve">Paragraph headings have been inserted in this Agreement as a matter of convenience for reference only and it is agreed that such paragraph headings are not a part of this Agreement and shall not be used in the interpretation of any provision of this Agreement. </w:t>
      </w:r>
    </w:p>
    <w:p>
      <w:pPr>
        <w:pStyle w:val="Heading3"/>
        <w:ind w:hanging="0" w:start="0"/>
        <w:rPr>
          <w:color w:val="000000"/>
        </w:rPr>
      </w:pPr>
      <w:bookmarkStart w:id="627" w:name="__RefHeading___Toc490591596"/>
      <w:bookmarkStart w:id="628" w:name="_DV_M474"/>
      <w:bookmarkEnd w:id="627"/>
      <w:bookmarkEnd w:id="628"/>
      <w:r>
        <w:rPr>
          <w:color w:val="000000"/>
        </w:rPr>
        <w:t>10.8</w:t>
        <w:tab/>
        <w:t>Governing Law.</w:t>
      </w:r>
    </w:p>
    <w:p>
      <w:pPr>
        <w:pStyle w:val="BodyText"/>
        <w:rPr>
          <w:color w:val="000000"/>
        </w:rPr>
      </w:pPr>
      <w:bookmarkStart w:id="629" w:name="_DV_M475"/>
      <w:bookmarkEnd w:id="629"/>
      <w:r>
        <w:rPr>
          <w:color w:val="000000"/>
        </w:rPr>
        <w:t>THIS AGREEMENT SHALL BE, FOR ALL PURPOSES PURSUANT TO SECTION 5</w:t>
        <w:noBreakHyphen/>
        <w:t xml:space="preserve">1401 OF THE NEW YORK GENERAL OBLIGATIONS LAW, GOVERNED BY AND CONSTRUED IN ACCORDANCE WITH THE LAWS OF THE STATE OF NEW YORK OF THE UNITED STATES OF AMERICA; </w:t>
      </w:r>
      <w:r>
        <w:rPr>
          <w:b/>
          <w:bCs/>
          <w:i/>
          <w:iCs/>
          <w:color w:val="000000"/>
        </w:rPr>
        <w:t>PROVIDED</w:t>
      </w:r>
      <w:r>
        <w:rPr>
          <w:color w:val="000000"/>
        </w:rPr>
        <w:t>, HOWEVER, THAT IF, AND ONLY IF, ANY LEGAL ACTION OR PROCEEDING (OTHER THAN AN ACTION TO ENFORCE A JUDGMENT OBTAINED OUTSIDE BOLIVIA) SHALL BE BROUGHT IN RESPECT OF THIS AGREEMENT IN THE COURTS OF BOLIVIA, AND BOLIVIAN LAW REQUIRES THAT BOLIVIAN LAW GOVERN THIS AGREEMENT IN ANY SUCH LEGAL ACTION OR PROCEEDING, THEN, IN THAT CASE ONLY, THIS AGREEMENT SHALL BE GOVERNED BY THE LAWS OF BOLIVIA, AND THE MEANING AND CONSTRUCTION OF THE PROVISIONS HEREOF AND THE RIGHTS AND DUTIES OF THE PARTIES HEREUNDER SHALL, IN ALL RESPECTS, BE CONSTRUED IN ACCORDANCE WITH SAID LAWS.</w:t>
      </w:r>
      <w:r>
        <w:fldChar w:fldCharType="begin"/>
      </w:r>
      <w:r>
        <w:rPr/>
        <w:instrText xml:space="preserve"> TC "11.12</w:instrText>
        <w:tab/>
        <w:instrText xml:space="preserve">Consent to Jurisdiction" \l 2 </w:instrText>
      </w:r>
      <w:r>
        <w:rPr/>
        <w:fldChar w:fldCharType="separate"/>
      </w:r>
      <w:r>
        <w:rPr/>
      </w:r>
      <w:r>
        <w:rPr/>
        <w:fldChar w:fldCharType="end"/>
      </w:r>
    </w:p>
    <w:p>
      <w:pPr>
        <w:pStyle w:val="Heading3"/>
        <w:ind w:hanging="0" w:start="0"/>
        <w:rPr>
          <w:color w:val="000000"/>
        </w:rPr>
      </w:pPr>
      <w:bookmarkStart w:id="630" w:name="__RefHeading___Toc490591597"/>
      <w:bookmarkStart w:id="631" w:name="_DV_M476"/>
      <w:bookmarkEnd w:id="631"/>
      <w:r>
        <w:rPr>
          <w:color w:val="000000"/>
        </w:rPr>
        <w:t>10.9</w:t>
        <w:tab/>
        <w:t>Consent to Jurisdiction.</w:t>
      </w:r>
      <w:bookmarkStart w:id="632" w:name="_DV_M477"/>
      <w:bookmarkEnd w:id="630"/>
      <w:bookmarkEnd w:id="632"/>
      <w:r>
        <w:rPr>
          <w:color w:val="000000"/>
        </w:rPr>
        <w:t xml:space="preserve"> </w:t>
      </w:r>
    </w:p>
    <w:p>
      <w:pPr>
        <w:pStyle w:val="a"/>
        <w:ind w:hanging="0" w:start="0" w:end="0"/>
        <w:rPr>
          <w:color w:val="000000"/>
        </w:rPr>
      </w:pPr>
      <w:bookmarkStart w:id="633" w:name="_DV_M478"/>
      <w:bookmarkEnd w:id="633"/>
      <w:r>
        <w:rPr>
          <w:color w:val="000000"/>
        </w:rPr>
        <w:t>Without prejudice to the Secured Parties’ right to bring suit in any appropriate domestic or foreign jurisdiction, any proceeding to enforce this Agreement may be brought by the Secured Parties in any state or federal court of competent jurisdiction in the District of Columbia or the State of New York of the United States of America or in any other jurisdiction where the Sponsors, the Shareholders, or any of their respective Property may be found.  Each of the Sponsors and each of the Shareholders hereby irrevocably waives any present or future objection to any such venue, and irrevocably consent and submit unconditionally to the non-exclusive jurisdiction for themselves and in respect of any of their property of any such court.  Each of the Sponsors and each of the Shareholders further agree that final judgment against them in any such action or proceeding arising out of or relating to this Agreement shall be conclusive and may be enforced in any other jurisdiction within or outside the United States of America by suit on the judgment, a certified or exemplified copy of which shall be conclusive evidence of the fact and of the amount of their obligation.</w:t>
      </w:r>
    </w:p>
    <w:p>
      <w:pPr>
        <w:pStyle w:val="Heading3"/>
        <w:ind w:hanging="0" w:start="0"/>
        <w:rPr>
          <w:color w:val="000000"/>
        </w:rPr>
      </w:pPr>
      <w:bookmarkStart w:id="634" w:name="__RefHeading___Toc490591598"/>
      <w:bookmarkStart w:id="635" w:name="_DV_M479"/>
      <w:bookmarkEnd w:id="635"/>
      <w:r>
        <w:rPr>
          <w:color w:val="000000"/>
        </w:rPr>
        <w:t>10.10</w:t>
        <w:tab/>
        <w:t>Appointment Of Process Agent.</w:t>
      </w:r>
      <w:bookmarkStart w:id="636" w:name="_DV_M480"/>
      <w:bookmarkEnd w:id="634"/>
      <w:bookmarkEnd w:id="636"/>
      <w:r>
        <w:rPr>
          <w:color w:val="000000"/>
        </w:rPr>
        <w:t xml:space="preserve"> </w:t>
      </w:r>
    </w:p>
    <w:p>
      <w:pPr>
        <w:pStyle w:val="a"/>
        <w:ind w:hanging="0" w:start="0" w:end="0"/>
        <w:rPr>
          <w:color w:val="000000"/>
        </w:rPr>
      </w:pPr>
      <w:bookmarkStart w:id="637" w:name="_DV_M481"/>
      <w:bookmarkEnd w:id="637"/>
      <w:r>
        <w:rPr>
          <w:color w:val="000000"/>
        </w:rPr>
        <w:t xml:space="preserve">Prior to the Closing Date, and, where applicable, in accordance with Article 1317 of the Brazilian Code, (a)  each of the Sponsors (other than SOTL) and the Shareholders (other than SGLA and SCHL) shall irrevocably designate and appoint an agent satisfactory to the Lenders for service of process in the District of Columbia and the State of New York in the United States of America and (b) each of SOTL, SGLA, and SCHL shall irrevocably designate and appoint an agent satisfactory to the lenders for service of process in London, England, in each case as its authorized agent to receive, accept, and forward on its behalf service of process in any such proceeding, and shall provide the Lenders with evidence of the prepayment in full of the fees of such agent.  Each of the Sponsors and each of the Shareholders agree that service of process, writ, judgment, or other notice of legal process (including service by mail) upon said agents shall be deemed and held in every respect to be effective personal service upon them.  Each of the Sponsors and each of the Shareholders shall maintain such appointment (or that of a successor satisfactory to the Lenders) continuously in effect at all times until the date six months after the Final Loan Maturity Date.  </w:t>
      </w:r>
    </w:p>
    <w:p>
      <w:pPr>
        <w:pStyle w:val="BodyText"/>
        <w:rPr>
          <w:color w:val="000000"/>
        </w:rPr>
      </w:pPr>
      <w:bookmarkStart w:id="638" w:name="_DV_M482"/>
      <w:bookmarkEnd w:id="638"/>
      <w:r>
        <w:rPr>
          <w:color w:val="000000"/>
        </w:rPr>
        <w:t>Nothing herein shall affect the Lenders’ right to serve process in any other manner permitted by Applicable Law.</w:t>
      </w:r>
    </w:p>
    <w:p>
      <w:pPr>
        <w:pStyle w:val="Heading3"/>
        <w:ind w:hanging="0" w:start="0"/>
        <w:rPr>
          <w:color w:val="000000"/>
        </w:rPr>
      </w:pPr>
      <w:bookmarkStart w:id="639" w:name="__RefHeading___Toc490591599"/>
      <w:bookmarkStart w:id="640" w:name="_DV_M483"/>
      <w:bookmarkEnd w:id="639"/>
      <w:bookmarkEnd w:id="640"/>
      <w:r>
        <w:rPr>
          <w:color w:val="000000"/>
        </w:rPr>
        <w:t>10.11</w:t>
        <w:tab/>
        <w:t>Indemnity.</w:t>
      </w:r>
    </w:p>
    <w:p>
      <w:pPr>
        <w:pStyle w:val="BodyText"/>
        <w:ind w:hanging="720" w:start="720" w:end="0"/>
        <w:rPr/>
      </w:pPr>
      <w:bookmarkStart w:id="641" w:name="_DV_M484"/>
      <w:bookmarkEnd w:id="641"/>
      <w:r>
        <w:rPr>
          <w:color w:val="000000"/>
        </w:rPr>
        <w:t xml:space="preserve">(a)  </w:t>
        <w:tab/>
      </w:r>
      <w:r>
        <w:rPr>
          <w:b/>
          <w:bCs/>
          <w:color w:val="000000"/>
        </w:rPr>
        <w:t>Borrowers' Indemnity.</w:t>
      </w:r>
      <w:r>
        <w:rPr>
          <w:color w:val="000000"/>
        </w:rPr>
        <w:t xml:space="preserve">  The Borrowers shall, at all times, jointly and severally indemnify and hold harmless the Lenders and each of their respective directors, officers, and employees (each, an </w:t>
      </w:r>
      <w:r>
        <w:rPr>
          <w:i/>
          <w:iCs/>
          <w:color w:val="000000"/>
        </w:rPr>
        <w:t>Indemnified Person</w:t>
      </w:r>
      <w:r>
        <w:rPr>
          <w:color w:val="000000"/>
        </w:rPr>
        <w:t xml:space="preserve">) in connection with any Loss (as defined below) and any Costs of Defense (as defined below) (the </w:t>
      </w:r>
      <w:r>
        <w:rPr>
          <w:i/>
          <w:iCs/>
          <w:color w:val="000000"/>
        </w:rPr>
        <w:t>Borrowers' Indemnity</w:t>
      </w:r>
      <w:r>
        <w:rPr>
          <w:color w:val="000000"/>
        </w:rPr>
        <w:t xml:space="preserve">).  The term </w:t>
      </w:r>
      <w:r>
        <w:rPr>
          <w:i/>
          <w:iCs/>
          <w:color w:val="000000"/>
        </w:rPr>
        <w:t>Loss</w:t>
      </w:r>
      <w:r>
        <w:rPr>
          <w:color w:val="000000"/>
        </w:rPr>
        <w:t xml:space="preserve"> shall mean any losses, claims, damages, penalties, or other costs relating to any Financing Document or the Project to which an Indemnified Person may become subject.  The term </w:t>
      </w:r>
      <w:r>
        <w:rPr>
          <w:i/>
          <w:iCs/>
          <w:color w:val="000000"/>
        </w:rPr>
        <w:t>Costs of Defense</w:t>
      </w:r>
      <w:r>
        <w:rPr>
          <w:color w:val="000000"/>
        </w:rPr>
        <w:t xml:space="preserve"> shall mean costs, fees, and expenses incurred by or imposed on any Indemnified Person in defending, analyzing, settling, or resolving a Loss or Potential Loss (as defined below), and the expenses associated with the making of any affirmative claim in connection therewith (</w:t>
      </w:r>
      <w:r>
        <w:rPr>
          <w:i/>
          <w:iCs/>
          <w:color w:val="000000"/>
        </w:rPr>
        <w:t>provided</w:t>
      </w:r>
      <w:r>
        <w:rPr>
          <w:color w:val="000000"/>
        </w:rPr>
        <w:t xml:space="preserve">, that costs, fees, and expenses in connection with a proceeding by any Indemnified Person to enforce his, her, or its rights under the Borrowers' Indemnity or the Sponsor Indemnity (as defined below) shall not be considered to be Costs of Defense).  The term </w:t>
      </w:r>
      <w:r>
        <w:rPr>
          <w:i/>
          <w:iCs/>
          <w:color w:val="000000"/>
        </w:rPr>
        <w:t>Potential Loss</w:t>
      </w:r>
      <w:r>
        <w:rPr>
          <w:color w:val="000000"/>
        </w:rPr>
        <w:t xml:space="preserve"> shall mean any event, fact, condition, or circumstance that is reasonably likely to give rise to a Loss.</w:t>
      </w:r>
      <w:bookmarkStart w:id="642" w:name="_DV_M485"/>
      <w:bookmarkEnd w:id="642"/>
      <w:r>
        <w:rPr>
          <w:color w:val="000000"/>
        </w:rPr>
        <w:t xml:space="preserve"> </w:t>
      </w:r>
    </w:p>
    <w:p>
      <w:pPr>
        <w:pStyle w:val="Normal"/>
        <w:spacing w:lineRule="atLeast" w:line="240"/>
        <w:ind w:hanging="720" w:start="720" w:end="0"/>
        <w:jc w:val="both"/>
        <w:rPr>
          <w:color w:val="000000"/>
        </w:rPr>
      </w:pPr>
      <w:bookmarkStart w:id="643" w:name="_DV_M486"/>
      <w:bookmarkEnd w:id="643"/>
      <w:r>
        <w:rPr>
          <w:color w:val="000000"/>
        </w:rPr>
        <w:t xml:space="preserve">(b)  </w:t>
        <w:tab/>
      </w:r>
      <w:r>
        <w:rPr>
          <w:b/>
          <w:bCs/>
          <w:color w:val="000000"/>
        </w:rPr>
        <w:t>Sponsors' Indemnity.</w:t>
      </w:r>
      <w:r>
        <w:rPr>
          <w:color w:val="000000"/>
        </w:rPr>
        <w:t xml:space="preserve">  The Sponsors, severally in accordance with their respective Project Ownership Percentages as set forth below, shall at all times, indemnify and hold harmless (collectively, the </w:t>
      </w:r>
      <w:r>
        <w:rPr>
          <w:b/>
          <w:bCs/>
          <w:i/>
          <w:iCs/>
          <w:color w:val="000000"/>
        </w:rPr>
        <w:t>Sponsors' Indemnity</w:t>
      </w:r>
      <w:r>
        <w:rPr>
          <w:color w:val="000000"/>
        </w:rPr>
        <w:t>) each Indemnified Person for any Loss and any Costs of Defense that arise from or in relation to (i) any impact on the environment caused by or otherwise related to the Project if any final judgment or arbitral award is entered against, or any settlement is entered into by a Sponsor in connection with such Loss and in connection with such Loss any final judgment, or arbitral award is entered against, or settlement is entered into by, an Indemnified Person, whether in the same or different proceedings or settlement agreements, (ii) fraud by a Borrower, a Sponsor, or an Affiliate of any of them, or (iii) any dispute among the Sponsors or the shareholders, members, or partners of one or more of the Sponsors, or any of the Borrowers.  The Project Ownership Percentages for Enron Corp. and SOTL are ____%, ____%, and ____%, respectively.</w:t>
      </w:r>
      <w:r>
        <w:rPr>
          <w:rStyle w:val="FootnoteCharacters"/>
          <w:rStyle w:val="FootnoteReference"/>
          <w:color w:val="000000"/>
        </w:rPr>
        <w:footnoteReference w:id="12"/>
      </w:r>
    </w:p>
    <w:p>
      <w:pPr>
        <w:pStyle w:val="Normal"/>
        <w:tabs>
          <w:tab w:val="left" w:pos="720" w:leader="none"/>
        </w:tabs>
        <w:ind w:hanging="720" w:start="720" w:end="0"/>
        <w:rPr/>
      </w:pPr>
      <w:bookmarkStart w:id="644" w:name="_DV_M487"/>
      <w:bookmarkEnd w:id="644"/>
      <w:r>
        <w:rPr>
          <w:color w:val="000000"/>
        </w:rPr>
        <w:t>(c)</w:t>
        <w:tab/>
      </w:r>
      <w:r>
        <w:rPr>
          <w:b/>
          <w:bCs/>
          <w:color w:val="000000"/>
        </w:rPr>
        <w:t>Limitations on Indemnities</w:t>
      </w:r>
      <w:r>
        <w:rPr>
          <w:color w:val="000000"/>
        </w:rPr>
        <w:t xml:space="preserve">.   </w:t>
      </w:r>
    </w:p>
    <w:p>
      <w:pPr>
        <w:pStyle w:val="Normal"/>
        <w:ind w:hanging="720" w:start="1440" w:end="0"/>
        <w:jc w:val="both"/>
        <w:rPr>
          <w:color w:val="000000"/>
        </w:rPr>
      </w:pPr>
      <w:bookmarkStart w:id="645" w:name="_DV_M488"/>
      <w:bookmarkEnd w:id="645"/>
      <w:r>
        <w:rPr>
          <w:color w:val="000000"/>
        </w:rPr>
        <w:t xml:space="preserve">(i)  </w:t>
        <w:tab/>
        <w:t xml:space="preserve">The Sponsors' Indemnity shall apply to a Loss only if on or prior to (x) the Project Completion Date or (y) the date on which all or substantially all of the assets of the Borrowers or the shares of the Borrowers or of EPE Holdings, EPE Investments, GasBol, GasMat Holdings and GasMat Investments, have been irrevocably transferred to the Lenders or their agent, in a non-appealable transfer, pursuant to the terms of the Security Documents, a Sponsor, a Borrower, or an Indemnified Person either (A) has received notice thereof or (B) knows, or after due inquiry, reasonably should have known of such Loss or Potential Loss, but shall apply to all Costs of Defense, whenever incurred or imposed.  </w:t>
      </w:r>
    </w:p>
    <w:p>
      <w:pPr>
        <w:pStyle w:val="BodyText"/>
        <w:ind w:hanging="720" w:start="1440" w:end="0"/>
        <w:rPr>
          <w:color w:val="000000"/>
        </w:rPr>
      </w:pPr>
      <w:bookmarkStart w:id="646" w:name="_DV_M489"/>
      <w:bookmarkEnd w:id="646"/>
      <w:r>
        <w:rPr>
          <w:color w:val="000000"/>
        </w:rPr>
        <w:t xml:space="preserve">(ii)  </w:t>
        <w:tab/>
        <w:t xml:space="preserve">The Sponsors' Indemnity shall not apply to a Loss or to Costs of Defense arising from the failure of any Borrower to pay principal, interest, or fees, except when such failure arises in connection with fraud by a Borrower, a Sponsor, or an affiliate of any of them.  </w:t>
      </w:r>
    </w:p>
    <w:p>
      <w:pPr>
        <w:pStyle w:val="BodyText"/>
        <w:ind w:hanging="720" w:start="1440" w:end="0"/>
        <w:rPr>
          <w:color w:val="000000"/>
        </w:rPr>
      </w:pPr>
      <w:bookmarkStart w:id="647" w:name="_DV_M490"/>
      <w:bookmarkEnd w:id="647"/>
      <w:r>
        <w:rPr>
          <w:color w:val="000000"/>
        </w:rPr>
        <w:t xml:space="preserve">(iii)  </w:t>
        <w:tab/>
        <w:t>The Borrowers' Indemnity and the Sponsors' Indemnity shall not apply to the extent that a court or arbitral tribunal with jurisdiction over the Loss and each Indemnified Person who has a Loss or Costs of Defense in connection therewith renders a final determination that the Loss or Costs of Defense resulted from (i) the gross negligence or willful misconduct of the Indemnified Person, or (ii) a Lender's failure to perform any act required of it under the Financing Documents.</w:t>
      </w:r>
    </w:p>
    <w:p>
      <w:pPr>
        <w:pStyle w:val="BodyTextIndent2"/>
        <w:spacing w:before="0" w:after="0"/>
        <w:ind w:hanging="720" w:end="0"/>
        <w:rPr/>
      </w:pPr>
      <w:bookmarkStart w:id="648" w:name="_DV_M491"/>
      <w:bookmarkEnd w:id="648"/>
      <w:r>
        <w:rPr>
          <w:color w:val="000000"/>
        </w:rPr>
        <w:t>(d)</w:t>
        <w:tab/>
      </w:r>
      <w:r>
        <w:rPr>
          <w:b/>
          <w:bCs/>
          <w:color w:val="000000"/>
        </w:rPr>
        <w:t>Loss Proceedings</w:t>
      </w:r>
      <w:r>
        <w:rPr>
          <w:color w:val="000000"/>
        </w:rPr>
        <w:t>.  OPIC and each other Indemnified Person shall have the right to control its, his, or her defense, provided, however, that each Indemnified Person shall:</w:t>
      </w:r>
    </w:p>
    <w:p>
      <w:pPr>
        <w:pStyle w:val="BodyTextIndent2"/>
        <w:spacing w:before="0" w:after="0"/>
        <w:ind w:start="0" w:end="0"/>
        <w:rPr>
          <w:color w:val="000000"/>
        </w:rPr>
      </w:pPr>
      <w:r>
        <w:rPr>
          <w:color w:val="000000"/>
        </w:rPr>
      </w:r>
    </w:p>
    <w:p>
      <w:pPr>
        <w:pStyle w:val="Legal2L4"/>
        <w:widowControl/>
        <w:ind w:hanging="720" w:start="1440" w:end="0"/>
        <w:jc w:val="both"/>
        <w:rPr>
          <w:color w:val="000000"/>
        </w:rPr>
      </w:pPr>
      <w:bookmarkStart w:id="649" w:name="_DV_M492"/>
      <w:bookmarkEnd w:id="649"/>
      <w:r>
        <w:rPr>
          <w:color w:val="000000"/>
        </w:rPr>
        <w:t xml:space="preserve">(i)  </w:t>
        <w:tab/>
        <w:t>notify the relevant Borrower or Sponsor in writing as soon as practicable of any Loss, Potential Loss, or Cost of Defense, and</w:t>
      </w:r>
    </w:p>
    <w:p>
      <w:pPr>
        <w:pStyle w:val="Legal2L4"/>
        <w:widowControl/>
        <w:ind w:hanging="720" w:start="1440" w:end="0"/>
        <w:jc w:val="both"/>
        <w:rPr>
          <w:color w:val="000000"/>
        </w:rPr>
      </w:pPr>
      <w:bookmarkStart w:id="650" w:name="_DV_M493"/>
      <w:bookmarkEnd w:id="650"/>
      <w:r>
        <w:rPr>
          <w:color w:val="000000"/>
        </w:rPr>
        <w:t xml:space="preserve">(ii)  </w:t>
        <w:tab/>
        <w:t>keep the relevant Borrower or the Sponsor reasonably informed of material developments with respect thereto.</w:t>
      </w:r>
    </w:p>
    <w:p>
      <w:pPr>
        <w:pStyle w:val="BodyContinued"/>
        <w:widowControl/>
        <w:ind w:start="720" w:end="0"/>
        <w:jc w:val="both"/>
        <w:rPr>
          <w:color w:val="000000"/>
        </w:rPr>
      </w:pPr>
      <w:bookmarkStart w:id="651" w:name="_DV_M494"/>
      <w:bookmarkEnd w:id="651"/>
      <w:r>
        <w:rPr>
          <w:color w:val="000000"/>
        </w:rPr>
        <w:t>In exercising the right and power to control his, her, or its actions in connection with a Loss or Potential Loss, including a decision to settle any such Loss, each Indemnified Person shall, taking into account the nature and policies of such Indemnified Person:</w:t>
      </w:r>
    </w:p>
    <w:p>
      <w:pPr>
        <w:pStyle w:val="Legal2L5"/>
        <w:widowControl/>
        <w:ind w:start="0" w:end="0"/>
        <w:jc w:val="both"/>
        <w:rPr>
          <w:color w:val="000000"/>
        </w:rPr>
      </w:pPr>
      <w:bookmarkStart w:id="652" w:name="_DV_M495"/>
      <w:bookmarkEnd w:id="652"/>
      <w:r>
        <w:rPr>
          <w:color w:val="000000"/>
        </w:rPr>
        <w:t xml:space="preserve">(i)   </w:t>
        <w:tab/>
        <w:t>consult with the relevant Borrower or the Sponsor and</w:t>
      </w:r>
    </w:p>
    <w:p>
      <w:pPr>
        <w:pStyle w:val="BodyTextIndent2"/>
        <w:ind w:hanging="720" w:start="1440" w:end="0"/>
        <w:rPr>
          <w:color w:val="000000"/>
        </w:rPr>
      </w:pPr>
      <w:bookmarkStart w:id="653" w:name="_DV_M496"/>
      <w:bookmarkEnd w:id="653"/>
      <w:r>
        <w:rPr>
          <w:color w:val="000000"/>
        </w:rPr>
        <w:t xml:space="preserve">(ii) </w:t>
        <w:tab/>
        <w:t>act as such Indemnified Person would act if the Costs of Defense or settlement were to be paid by such Indemnified Person.</w:t>
      </w:r>
    </w:p>
    <w:p>
      <w:pPr>
        <w:pStyle w:val="Normal"/>
        <w:tabs>
          <w:tab w:val="left" w:pos="720" w:leader="none"/>
        </w:tabs>
        <w:spacing w:lineRule="atLeast" w:line="240"/>
        <w:ind w:hanging="720" w:start="720" w:end="0"/>
        <w:jc w:val="both"/>
        <w:rPr/>
      </w:pPr>
      <w:bookmarkStart w:id="654" w:name="_DV_M497"/>
      <w:bookmarkEnd w:id="654"/>
      <w:r>
        <w:rPr>
          <w:color w:val="000000"/>
        </w:rPr>
        <w:t>(e)</w:t>
        <w:tab/>
      </w:r>
      <w:r>
        <w:rPr>
          <w:b/>
          <w:bCs/>
          <w:color w:val="000000"/>
        </w:rPr>
        <w:t>Survival of Certain Terms</w:t>
      </w:r>
      <w:r>
        <w:rPr>
          <w:color w:val="000000"/>
        </w:rPr>
        <w:t>.</w:t>
        <w:tab/>
        <w:t xml:space="preserve"> The Borrowers' Indemnity and the Sponsors' Indemnity are independent of and in addition to (i) any other rights of any party hereto in connection with any Loss or Costs of Defense and (ii) any other agreement.  The Borrowers' Indemnity and the Sponsors' Indemnity shall survive the modification, expiration, cancellation, or termination of the Commitments, the disbursement and repayment of the Advances, and the provision of any other indemnity.</w:t>
      </w:r>
    </w:p>
    <w:p>
      <w:pPr>
        <w:pStyle w:val="Heading3"/>
        <w:ind w:hanging="0" w:start="0"/>
        <w:rPr>
          <w:color w:val="000000"/>
        </w:rPr>
      </w:pPr>
      <w:bookmarkStart w:id="655" w:name="__RefHeading___Toc490591600"/>
      <w:bookmarkStart w:id="656" w:name="_DV_M498"/>
      <w:bookmarkEnd w:id="655"/>
      <w:bookmarkEnd w:id="656"/>
      <w:r>
        <w:rPr>
          <w:color w:val="000000"/>
        </w:rPr>
        <w:t>10.12</w:t>
        <w:tab/>
        <w:t>Waiver of Litigation Payment.</w:t>
      </w:r>
    </w:p>
    <w:p>
      <w:pPr>
        <w:pStyle w:val="Normal"/>
        <w:keepLines/>
        <w:spacing w:lineRule="exact" w:line="288" w:before="0" w:after="288"/>
        <w:jc w:val="both"/>
        <w:rPr/>
      </w:pPr>
      <w:bookmarkStart w:id="657" w:name="_DV_M499"/>
      <w:bookmarkEnd w:id="657"/>
      <w:r>
        <w:rPr>
          <w:color w:val="000000"/>
        </w:rPr>
        <w:t xml:space="preserve">In the event that any action or lawsuit is initiated by or on behalf of  any Secured Party in Bolivia, Brazil, or elsewhere against any  Shareholder, any Sponsor, or any other party to any Financing Document, the Shareholders, and the Sponsors to the fullest extent permissible under Applicable Law, irrevocably waive their respective rights to, and agree not to request, plead, or claim that the plaintiff post, pay, or offer, any </w:t>
      </w:r>
      <w:r>
        <w:rPr>
          <w:i/>
          <w:iCs/>
          <w:color w:val="000000"/>
        </w:rPr>
        <w:t>cautio judicatum solvi</w:t>
      </w:r>
      <w:r>
        <w:rPr>
          <w:color w:val="000000"/>
        </w:rPr>
        <w:t xml:space="preserve"> bond, litigation bond, or any other bond, fee payment, or security measure provided for by any provision of law applicable to such action or lawsuit (any such bond, fee, payment, or measure, a </w:t>
      </w:r>
      <w:r>
        <w:rPr>
          <w:i/>
          <w:iCs/>
          <w:color w:val="000000"/>
        </w:rPr>
        <w:t>Litigation Payment</w:t>
      </w:r>
      <w:r>
        <w:rPr>
          <w:color w:val="000000"/>
        </w:rPr>
        <w:t>)</w:t>
      </w:r>
      <w:r>
        <w:rPr>
          <w:i/>
          <w:iCs/>
          <w:color w:val="000000"/>
        </w:rPr>
        <w:t>,</w:t>
      </w:r>
      <w:r>
        <w:rPr>
          <w:color w:val="000000"/>
        </w:rPr>
        <w:t xml:space="preserve"> and each Shareholder and Sponsor further waives any objection it may now or hereafter have to plaintiff’s claim that such plaintiff should be exempt or immune from posting, making, or offering any such Litigation Payment.</w:t>
      </w:r>
    </w:p>
    <w:p>
      <w:pPr>
        <w:pStyle w:val="Heading3"/>
        <w:ind w:hanging="0" w:start="0"/>
        <w:rPr>
          <w:color w:val="000000"/>
        </w:rPr>
      </w:pPr>
      <w:bookmarkStart w:id="658" w:name="__RefHeading___Toc490591601"/>
      <w:bookmarkStart w:id="659" w:name="_DV_M500"/>
      <w:bookmarkEnd w:id="658"/>
      <w:bookmarkEnd w:id="659"/>
      <w:r>
        <w:rPr>
          <w:color w:val="000000"/>
        </w:rPr>
        <w:t>10.13</w:t>
        <w:tab/>
        <w:t>Counterparts.</w:t>
      </w:r>
    </w:p>
    <w:p>
      <w:pPr>
        <w:pStyle w:val="BodyText"/>
        <w:rPr>
          <w:color w:val="000000"/>
        </w:rPr>
      </w:pPr>
      <w:bookmarkStart w:id="660" w:name="_DV_M501"/>
      <w:bookmarkEnd w:id="660"/>
      <w:r>
        <w:rPr>
          <w:color w:val="000000"/>
        </w:rPr>
        <w:t xml:space="preserve">This Agreement may be executed in one or more duplicate counterparts and when signed by all of the parties shall constitute a single binding agreement. </w:t>
      </w:r>
    </w:p>
    <w:p>
      <w:pPr>
        <w:pStyle w:val="Heading3"/>
        <w:ind w:hanging="0" w:start="0"/>
        <w:rPr>
          <w:color w:val="000000"/>
        </w:rPr>
      </w:pPr>
      <w:bookmarkStart w:id="661" w:name="__RefHeading___Toc490591602"/>
      <w:bookmarkStart w:id="662" w:name="_DV_M502"/>
      <w:bookmarkEnd w:id="661"/>
      <w:bookmarkEnd w:id="662"/>
      <w:r>
        <w:rPr>
          <w:color w:val="000000"/>
        </w:rPr>
        <w:t>10.14</w:t>
        <w:tab/>
        <w:t>Severability.</w:t>
      </w:r>
    </w:p>
    <w:p>
      <w:pPr>
        <w:pStyle w:val="BodyText"/>
        <w:rPr>
          <w:color w:val="000000"/>
        </w:rPr>
      </w:pPr>
      <w:bookmarkStart w:id="663" w:name="_DV_M503"/>
      <w:bookmarkEnd w:id="663"/>
      <w:r>
        <w:rPr>
          <w:color w:val="000000"/>
        </w:rPr>
        <w:t>If any provision of this Agreement is prohibited or held to be invalid, illegal, or unenforceable in any jurisdiction, the parties hereto agree to the fullest extent permitted by law that (i) the validity, legality, and enforceability of the other provisions in such jurisdiction shall not be affected or impaired thereby, and (ii) any such prohibition, invalidity, illegality, or unenforceability shall not render such provision prohibited, invalid, illegal, or unenforceable in any other jurisdiction.</w:t>
      </w:r>
    </w:p>
    <w:p>
      <w:pPr>
        <w:pStyle w:val="Heading3"/>
        <w:ind w:hanging="0" w:start="0"/>
        <w:rPr>
          <w:color w:val="000000"/>
        </w:rPr>
      </w:pPr>
      <w:bookmarkStart w:id="664" w:name="__RefHeading___Toc490591603"/>
      <w:bookmarkStart w:id="665" w:name="_DV_M504"/>
      <w:bookmarkEnd w:id="664"/>
      <w:bookmarkEnd w:id="665"/>
      <w:r>
        <w:rPr>
          <w:color w:val="000000"/>
        </w:rPr>
        <w:t>10.15</w:t>
        <w:tab/>
        <w:t>Waiver of Jury Trial.</w:t>
      </w:r>
    </w:p>
    <w:p>
      <w:pPr>
        <w:pStyle w:val="BodyText"/>
        <w:rPr>
          <w:color w:val="000000"/>
        </w:rPr>
      </w:pPr>
      <w:bookmarkStart w:id="666" w:name="_DV_M505"/>
      <w:bookmarkEnd w:id="666"/>
      <w:r>
        <w:rPr>
          <w:color w:val="000000"/>
        </w:rPr>
        <w:t>EACH OF THE PARTIES HERETO HEREBY KNOWINGLY, VOLUNTARILY, AND INTENTIONALLY WAIVES ANY RIGHTS SUCH PARTY MAY HAVE TO A TRIAL BY JURY IN RESPECT OF ANY LITIGATION BASED HEREON, OR ARISING OUT OF, UNDER, OR IN CONNECTION WITH, THIS AGREEMENT OR ANY OTHER FINANCING DOCUMENT, OR ANY COURSE OF CONDUCT, COURSE OF DEALING, STATEMENTS (WHETHER VERBAL OR WRITTEN), OR ACTIONS OF THE BORROWERS.  THIS PROVISION IS A MATERIAL INDUCEMENT FOR EACH FINANCING PARTY TO ENTER INTO THIS AGREEMENT AND THE OTHER FINANCING DOCUMENTS.</w:t>
      </w:r>
    </w:p>
    <w:p>
      <w:pPr>
        <w:pStyle w:val="Heading3"/>
        <w:ind w:hanging="0" w:start="0"/>
        <w:rPr>
          <w:color w:val="000000"/>
        </w:rPr>
      </w:pPr>
      <w:bookmarkStart w:id="667" w:name="__RefHeading___Toc490591604"/>
      <w:bookmarkStart w:id="668" w:name="_DV_M506"/>
      <w:bookmarkEnd w:id="667"/>
      <w:bookmarkEnd w:id="668"/>
      <w:r>
        <w:rPr>
          <w:color w:val="000000"/>
        </w:rPr>
        <w:t>10.16</w:t>
        <w:tab/>
        <w:t>Agents.</w:t>
      </w:r>
    </w:p>
    <w:p>
      <w:pPr>
        <w:pStyle w:val="BodyText"/>
        <w:rPr>
          <w:color w:val="000000"/>
        </w:rPr>
      </w:pPr>
      <w:bookmarkStart w:id="669" w:name="_DV_M507"/>
      <w:bookmarkEnd w:id="669"/>
      <w:r>
        <w:rPr>
          <w:color w:val="000000"/>
        </w:rPr>
        <w:t>The Common Agent may perform any duties hereunder either directly or by or through agents, attorneys, custodians, or nominees appointed with due care and in good faith, and shall not be responsible for any willful misconduct or negligence on the part of any agent, attorney, custodian, or nominee so appointed.</w:t>
      </w:r>
    </w:p>
    <w:p>
      <w:pPr>
        <w:pStyle w:val="Heading3"/>
        <w:ind w:hanging="0" w:start="0"/>
        <w:rPr>
          <w:color w:val="000000"/>
        </w:rPr>
      </w:pPr>
      <w:bookmarkStart w:id="670" w:name="__RefHeading___Toc490591605"/>
      <w:bookmarkStart w:id="671" w:name="_DV_M508"/>
      <w:bookmarkEnd w:id="670"/>
      <w:bookmarkEnd w:id="671"/>
      <w:r>
        <w:rPr>
          <w:color w:val="000000"/>
        </w:rPr>
        <w:t>10.17</w:t>
        <w:tab/>
        <w:t>Entire Agreement.</w:t>
      </w:r>
    </w:p>
    <w:p>
      <w:pPr>
        <w:pStyle w:val="BodyText"/>
        <w:rPr>
          <w:color w:val="000000"/>
        </w:rPr>
      </w:pPr>
      <w:bookmarkStart w:id="672" w:name="_DV_M509"/>
      <w:bookmarkEnd w:id="672"/>
      <w:r>
        <w:rPr>
          <w:color w:val="000000"/>
        </w:rPr>
        <w:t>This Agreement, including any agreement, document, or instrument attached hereto or referred to herein, embodies the entire agreement and understanding of the parties hereto and supersedes all prior agreements and understandings of the parties hereto relating to the subject matter herein contained, including the Letter Agreement dated September 30, 1999 among the Borrowers, the Sponsors, OPIC and KfW and upon the due execution and delivery of this Agreement by each party hereto and the satisfaction of any condition to its effectiveness, such Letter Agreement and all liability of the Sponsors thereunder shall be terminated.</w:t>
      </w:r>
    </w:p>
    <w:p>
      <w:pPr>
        <w:pStyle w:val="Heading3"/>
        <w:ind w:hanging="0" w:start="0"/>
        <w:rPr>
          <w:color w:val="000000"/>
        </w:rPr>
      </w:pPr>
      <w:bookmarkStart w:id="673" w:name="__RefHeading___Toc490591606"/>
      <w:bookmarkStart w:id="674" w:name="_DV_M510"/>
      <w:bookmarkEnd w:id="673"/>
      <w:bookmarkEnd w:id="674"/>
      <w:r>
        <w:rPr>
          <w:color w:val="000000"/>
        </w:rPr>
        <w:t>10.18</w:t>
        <w:tab/>
        <w:t>THIRD PARTY BENEFICIARIES.</w:t>
      </w:r>
    </w:p>
    <w:p>
      <w:pPr>
        <w:pStyle w:val="BodyText"/>
        <w:rPr>
          <w:b/>
          <w:bCs/>
          <w:color w:val="000000"/>
        </w:rPr>
      </w:pPr>
      <w:bookmarkStart w:id="675" w:name="_DV_M511"/>
      <w:bookmarkEnd w:id="675"/>
      <w:r>
        <w:rPr>
          <w:b/>
          <w:bCs/>
          <w:color w:val="000000"/>
        </w:rPr>
        <w:t>THE AGREEMENTS OF THE PARTIES HERETO ARE SOLELY FOR THE BENEFIT OF THE BORROWERS, THE SPONSORS, THE SHAREHOLDER, AND THE SECURED PARTIES, AND NO PERSON (OTHER THAN THE PARTIES HERETO, THE SECURED PARTIES AND THEIR SUCCESSORS AND ASSIGNS PERMITTED HEREUNDER) SHALL HAVE ANY RIGHTS HEREUNDER.</w:t>
      </w:r>
    </w:p>
    <w:p>
      <w:pPr>
        <w:pStyle w:val="BodyText"/>
        <w:keepNext w:val="true"/>
        <w:keepLines/>
        <w:rPr/>
      </w:pPr>
      <w:bookmarkStart w:id="676" w:name="_DV_M512"/>
      <w:bookmarkEnd w:id="676"/>
      <w:r>
        <w:rPr>
          <w:b/>
          <w:bCs/>
          <w:color w:val="000000"/>
        </w:rPr>
        <w:t xml:space="preserve">10.19  Expenses.  </w:t>
      </w:r>
      <w:r>
        <w:rPr>
          <w:color w:val="000000"/>
        </w:rPr>
        <w:t xml:space="preserve"> </w:t>
      </w:r>
    </w:p>
    <w:p>
      <w:pPr>
        <w:pStyle w:val="BodyText"/>
        <w:keepNext w:val="true"/>
        <w:keepLines/>
        <w:rPr>
          <w:color w:val="000000"/>
        </w:rPr>
      </w:pPr>
      <w:bookmarkStart w:id="677" w:name="_DV_M513"/>
      <w:bookmarkEnd w:id="677"/>
      <w:r>
        <w:rPr>
          <w:color w:val="000000"/>
        </w:rPr>
        <w:t>Each Shareholder and Sponsor will upon demand pay to each Agent and Lender its pro rata share (determined by reference to such Shareholder's or Sponsor's, as the case may be,  equity interest  in any defaulting party) all reasonable fees and expenses, including attorney's fees and expenses, incurred by it in connection with the exercise or enforcement of any of its rights or interests under this Agreement.</w:t>
      </w:r>
    </w:p>
    <w:p>
      <w:pPr>
        <w:pStyle w:val="BodyText"/>
        <w:rPr>
          <w:color w:val="000000"/>
        </w:rPr>
      </w:pPr>
      <w:bookmarkStart w:id="678" w:name="_DV_M514"/>
      <w:bookmarkEnd w:id="678"/>
      <w:r>
        <w:rPr>
          <w:b/>
          <w:bCs/>
          <w:color w:val="000000"/>
        </w:rPr>
        <w:t>10.20</w:t>
        <w:tab/>
        <w:t>Time of Essence.</w:t>
      </w:r>
    </w:p>
    <w:p>
      <w:pPr>
        <w:pStyle w:val="BodyText"/>
        <w:rPr>
          <w:color w:val="000000"/>
        </w:rPr>
      </w:pPr>
      <w:bookmarkStart w:id="679" w:name="_DV_M515"/>
      <w:bookmarkEnd w:id="679"/>
      <w:r>
        <w:rPr>
          <w:color w:val="000000"/>
        </w:rPr>
        <w:t xml:space="preserve">The parties hereto agree that time shall be of the essence of this Agreement.  </w:t>
      </w:r>
    </w:p>
    <w:p>
      <w:pPr>
        <w:pStyle w:val="BodyText"/>
        <w:rPr>
          <w:b/>
          <w:bCs/>
          <w:color w:val="000000"/>
        </w:rPr>
      </w:pPr>
      <w:bookmarkStart w:id="680" w:name="_DV_M516"/>
      <w:bookmarkEnd w:id="680"/>
      <w:r>
        <w:rPr>
          <w:b/>
          <w:bCs/>
          <w:color w:val="000000"/>
        </w:rPr>
        <w:t>10.21</w:t>
        <w:tab/>
        <w:t>Judgment Currency.</w:t>
      </w:r>
    </w:p>
    <w:p>
      <w:pPr>
        <w:pStyle w:val="a"/>
        <w:ind w:hanging="0" w:start="0" w:end="0"/>
        <w:rPr/>
      </w:pPr>
      <w:bookmarkStart w:id="681" w:name="_DV_M517"/>
      <w:bookmarkEnd w:id="681"/>
      <w:r>
        <w:rPr>
          <w:color w:val="000000"/>
        </w:rPr>
        <w:t xml:space="preserve">The transactions contemplated hereunder constitute international financing transactions in which the specification of U.S. Dollars is of the essence, and such currency shall be the currency of account in all events.  The obligations of the Shareholders and the Sponsors hereunder to make payments or Equity Contributions in U.S. Dollars shall not be discharged or satisfied by any tender or recovery pursuant to any judgment expressed in or converted into any currency other than U.S. Dollars, except to the extent that such tender or recovery results in the effective receipt by the respective Related Company, Agent, or Indemnified Party (as the case may be) of the full amount of U.S. Dollars expressed to be payable or due to such Person under this Agreement.  If, for the purpose of obtaining or enforcing judgment against the Shareholders or the Sponsors in any court or in any jurisdiction, it becomes necessary to convert into or from any currency other than U.S. Dollars (such other currency being hereinafter referred to as the </w:t>
      </w:r>
      <w:r>
        <w:rPr>
          <w:b/>
          <w:bCs/>
          <w:i/>
          <w:iCs/>
          <w:color w:val="000000"/>
        </w:rPr>
        <w:t>Judgment Currency</w:t>
      </w:r>
      <w:r>
        <w:rPr>
          <w:color w:val="000000"/>
        </w:rPr>
        <w:t xml:space="preserve">) an amount due in U.S. Dollars, the conversion shall be made, at the rate of exchange (as quoted by financial institution acting as the Common Agent under the Common </w:t>
      </w:r>
      <w:r>
        <w:br w:type="page"/>
      </w:r>
    </w:p>
    <w:p>
      <w:pPr>
        <w:pStyle w:val="a"/>
        <w:ind w:start="0" w:end="0"/>
        <w:rPr/>
      </w:pPr>
      <w:r>
        <w:rPr>
          <w:color w:val="000000"/>
        </w:rPr>
        <w:t xml:space="preserve">Agreement or if the Common Agent does not quote a rate of exchange on such currency, by a known dealer in such currency designated by the Lenders) determined, in each case, on the Business Day immediately preceding the Business Day on which the judgment is given (such Business Day being hereinafter referred to as the </w:t>
      </w:r>
      <w:r>
        <w:rPr>
          <w:b/>
          <w:bCs/>
          <w:i/>
          <w:iCs/>
          <w:color w:val="000000"/>
        </w:rPr>
        <w:t>Judgment Currency Conversion Date</w:t>
      </w:r>
      <w:r>
        <w:rPr>
          <w:color w:val="000000"/>
        </w:rPr>
        <w:t xml:space="preserve">). </w:t>
      </w:r>
    </w:p>
    <w:p>
      <w:pPr>
        <w:pStyle w:val="BodyText"/>
        <w:rPr>
          <w:color w:val="000000"/>
        </w:rPr>
      </w:pPr>
      <w:bookmarkStart w:id="682" w:name="_DV_M518"/>
      <w:bookmarkEnd w:id="682"/>
      <w:r>
        <w:rPr>
          <w:color w:val="000000"/>
        </w:rPr>
        <w:t>(b)</w:t>
        <w:tab/>
        <w:t>If there is a change in the rate of exchange prevailing between the Judgment Currency Conversion Date and the date of actual payment of the amount due, the Shareholders and the Sponsors covenant to pay, or cause to be paid, such additional amounts, if any (but in any event not a lesser amount), as may be necessary to ensure that the amount paid in the Judgment Currency, when converted at the rate of exchange prevailing on the date of payment, will produce the amount of the U.S. Dollars which could have been purchased with the amount of Judgment Currency stipulated in the judgment or judicial award at the rate of exchange prevailing on the Judgment Currency Conversion Date.</w:t>
      </w:r>
    </w:p>
    <w:p>
      <w:pPr>
        <w:pStyle w:val="BodyText"/>
        <w:rPr>
          <w:color w:val="000000"/>
        </w:rPr>
      </w:pPr>
      <w:bookmarkStart w:id="683" w:name="_DV_M519"/>
      <w:bookmarkEnd w:id="683"/>
      <w:r>
        <w:rPr>
          <w:color w:val="000000"/>
        </w:rPr>
        <w:t>(c)</w:t>
        <w:tab/>
        <w:t>For purposes of determining the rate of exchange referred in clause (a) above, such amounts shall include any premium and costs payable in connection with the purchase of U.S. Dollars.</w:t>
      </w:r>
      <w:r>
        <w:br w:type="page"/>
      </w:r>
    </w:p>
    <w:p>
      <w:pPr>
        <w:pStyle w:val="BodyText"/>
        <w:rPr/>
      </w:pPr>
      <w:bookmarkStart w:id="684" w:name="_DV_M520"/>
      <w:bookmarkEnd w:id="684"/>
      <w:r>
        <w:rPr>
          <w:b/>
          <w:bCs/>
          <w:color w:val="000000"/>
        </w:rPr>
        <w:t>IN WITNESS WHEREOF</w:t>
      </w:r>
      <w:r>
        <w:rPr>
          <w:color w:val="000000"/>
        </w:rPr>
        <w:t>, the parties hereto have caused this Agreement to be duly executed and delivered as of the day and year first above written.</w:t>
      </w:r>
    </w:p>
    <w:p>
      <w:pPr>
        <w:pStyle w:val="BodyText"/>
        <w:numPr>
          <w:ilvl w:val="0"/>
          <w:numId w:val="0"/>
        </w:numPr>
        <w:outlineLvl w:val="0"/>
        <w:rPr>
          <w:b/>
          <w:bCs/>
          <w:caps/>
          <w:color w:val="000000"/>
        </w:rPr>
      </w:pPr>
      <w:bookmarkStart w:id="685" w:name="_DV_M521"/>
      <w:bookmarkEnd w:id="685"/>
      <w:r>
        <w:rPr>
          <w:b/>
          <w:bCs/>
          <w:caps/>
          <w:color w:val="000000"/>
        </w:rPr>
        <w:t>ENRON DO BRAZIL HOLDINGS LTD.</w:t>
      </w:r>
    </w:p>
    <w:p>
      <w:pPr>
        <w:pStyle w:val="BodyText"/>
        <w:rPr>
          <w:b/>
          <w:bCs/>
          <w:caps/>
          <w:color w:val="000000"/>
        </w:rPr>
      </w:pPr>
      <w:r>
        <w:rPr>
          <w:b/>
          <w:bCs/>
          <w:caps/>
          <w:color w:val="000000"/>
        </w:rPr>
      </w:r>
    </w:p>
    <w:p>
      <w:pPr>
        <w:pStyle w:val="BodyText"/>
        <w:jc w:val="start"/>
        <w:rPr>
          <w:color w:val="000000"/>
        </w:rPr>
      </w:pPr>
      <w:bookmarkStart w:id="686" w:name="_DV_M522"/>
      <w:bookmarkEnd w:id="686"/>
      <w:r>
        <w:rPr>
          <w:color w:val="000000"/>
        </w:rPr>
        <w:t>By _________________________________</w:t>
        <w:br/>
        <w:t>Title:</w:t>
      </w:r>
      <w:r>
        <w:br w:type="page"/>
      </w:r>
    </w:p>
    <w:p>
      <w:pPr>
        <w:pStyle w:val="BodyText"/>
        <w:jc w:val="start"/>
        <w:rPr>
          <w:color w:val="000000"/>
        </w:rPr>
      </w:pPr>
      <w:r>
        <w:rPr>
          <w:color w:val="000000"/>
        </w:rPr>
      </w:r>
      <w:bookmarkStart w:id="687" w:name="_DV_M523"/>
      <w:bookmarkStart w:id="688" w:name="_DV_M523"/>
      <w:bookmarkEnd w:id="688"/>
    </w:p>
    <w:p>
      <w:pPr>
        <w:pStyle w:val="BodyText"/>
        <w:numPr>
          <w:ilvl w:val="0"/>
          <w:numId w:val="0"/>
        </w:numPr>
        <w:outlineLvl w:val="0"/>
        <w:rPr>
          <w:b/>
          <w:bCs/>
          <w:caps/>
          <w:color w:val="000000"/>
        </w:rPr>
      </w:pPr>
      <w:bookmarkStart w:id="689" w:name="_DV_M524"/>
      <w:bookmarkEnd w:id="689"/>
      <w:r>
        <w:rPr>
          <w:b/>
          <w:bCs/>
          <w:caps/>
          <w:color w:val="000000"/>
        </w:rPr>
        <w:t>SHELL CUIABÁ HOLDINGS LIMITED</w:t>
      </w:r>
    </w:p>
    <w:p>
      <w:pPr>
        <w:pStyle w:val="BodyText"/>
        <w:rPr>
          <w:b/>
          <w:bCs/>
          <w:caps/>
          <w:color w:val="000000"/>
        </w:rPr>
      </w:pPr>
      <w:r>
        <w:rPr>
          <w:b/>
          <w:bCs/>
          <w:caps/>
          <w:color w:val="000000"/>
        </w:rPr>
      </w:r>
    </w:p>
    <w:p>
      <w:pPr>
        <w:pStyle w:val="BodyText"/>
        <w:jc w:val="start"/>
        <w:rPr>
          <w:color w:val="000000"/>
          <w:lang w:val="es-ES"/>
        </w:rPr>
      </w:pPr>
      <w:bookmarkStart w:id="690" w:name="_DV_M525"/>
      <w:bookmarkEnd w:id="690"/>
      <w:r>
        <w:rPr>
          <w:color w:val="000000"/>
          <w:lang w:val="es-ES"/>
        </w:rPr>
        <w:t>By _________________________________</w:t>
        <w:br/>
        <w:t>Title:</w:t>
      </w:r>
      <w:r>
        <w:br w:type="page"/>
      </w:r>
    </w:p>
    <w:p>
      <w:pPr>
        <w:pStyle w:val="BodyText"/>
        <w:jc w:val="start"/>
        <w:rPr>
          <w:color w:val="000000"/>
          <w:lang w:val="es-ES"/>
        </w:rPr>
      </w:pPr>
      <w:r>
        <w:rPr>
          <w:color w:val="000000"/>
          <w:lang w:val="es-ES"/>
        </w:rPr>
      </w:r>
      <w:bookmarkStart w:id="691" w:name="_DV_M526"/>
      <w:bookmarkStart w:id="692" w:name="_DV_M526"/>
      <w:bookmarkEnd w:id="692"/>
    </w:p>
    <w:p>
      <w:pPr>
        <w:pStyle w:val="BodyText"/>
        <w:jc w:val="start"/>
        <w:rPr>
          <w:b/>
          <w:bCs/>
          <w:caps/>
          <w:color w:val="000000"/>
        </w:rPr>
      </w:pPr>
      <w:bookmarkStart w:id="693" w:name="_DV_M527"/>
      <w:bookmarkEnd w:id="693"/>
      <w:r>
        <w:rPr>
          <w:b/>
          <w:bCs/>
          <w:caps/>
          <w:color w:val="000000"/>
        </w:rPr>
        <w:t xml:space="preserve">ENRON INTERNATIONAL BOLIVIA </w:t>
        <w:br/>
        <w:t>HOLDINGS LTD.</w:t>
      </w:r>
    </w:p>
    <w:p>
      <w:pPr>
        <w:pStyle w:val="BodyText"/>
        <w:rPr>
          <w:b/>
          <w:bCs/>
          <w:caps/>
          <w:color w:val="000000"/>
        </w:rPr>
      </w:pPr>
      <w:r>
        <w:rPr>
          <w:b/>
          <w:bCs/>
          <w:caps/>
          <w:color w:val="000000"/>
        </w:rPr>
      </w:r>
    </w:p>
    <w:p>
      <w:pPr>
        <w:pStyle w:val="BodyText"/>
        <w:jc w:val="start"/>
        <w:rPr>
          <w:color w:val="000000"/>
        </w:rPr>
      </w:pPr>
      <w:bookmarkStart w:id="694" w:name="_DV_M528"/>
      <w:bookmarkEnd w:id="694"/>
      <w:r>
        <w:rPr>
          <w:color w:val="000000"/>
        </w:rPr>
        <w:t>By _________________________________</w:t>
        <w:br/>
        <w:t>Title:</w:t>
      </w:r>
      <w:r>
        <w:br w:type="page"/>
      </w:r>
    </w:p>
    <w:p>
      <w:pPr>
        <w:pStyle w:val="BodyText"/>
        <w:keepNext w:val="true"/>
        <w:keepLines/>
        <w:rPr>
          <w:caps/>
          <w:color w:val="000000"/>
        </w:rPr>
      </w:pPr>
      <w:r>
        <w:rPr>
          <w:caps/>
          <w:color w:val="000000"/>
        </w:rPr>
      </w:r>
      <w:bookmarkStart w:id="695" w:name="_DV_M529"/>
      <w:bookmarkStart w:id="696" w:name="_DV_M529"/>
      <w:bookmarkEnd w:id="696"/>
    </w:p>
    <w:p>
      <w:pPr>
        <w:pStyle w:val="BodyText"/>
        <w:keepNext w:val="true"/>
        <w:keepLines/>
        <w:jc w:val="start"/>
        <w:rPr>
          <w:b/>
          <w:bCs/>
          <w:caps/>
          <w:color w:val="000000"/>
        </w:rPr>
      </w:pPr>
      <w:bookmarkStart w:id="697" w:name="_DV_M530"/>
      <w:bookmarkEnd w:id="697"/>
      <w:r>
        <w:rPr>
          <w:b/>
          <w:bCs/>
          <w:caps/>
          <w:color w:val="000000"/>
        </w:rPr>
        <w:t>ENRON BRAZIL POWER HOLDINGS I</w:t>
        <w:br/>
        <w:t>LTD.</w:t>
      </w:r>
    </w:p>
    <w:p>
      <w:pPr>
        <w:pStyle w:val="BodyText"/>
        <w:rPr>
          <w:b/>
          <w:bCs/>
          <w:caps/>
          <w:color w:val="000000"/>
        </w:rPr>
      </w:pPr>
      <w:r>
        <w:rPr>
          <w:b/>
          <w:bCs/>
          <w:caps/>
          <w:color w:val="000000"/>
        </w:rPr>
      </w:r>
    </w:p>
    <w:p>
      <w:pPr>
        <w:pStyle w:val="BodyText"/>
        <w:jc w:val="start"/>
        <w:rPr>
          <w:color w:val="000000"/>
        </w:rPr>
      </w:pPr>
      <w:bookmarkStart w:id="698" w:name="_DV_M531"/>
      <w:bookmarkEnd w:id="698"/>
      <w:r>
        <w:rPr>
          <w:color w:val="000000"/>
        </w:rPr>
        <w:t>By _________________________________</w:t>
        <w:br/>
        <w:t>Title:</w:t>
      </w:r>
      <w:r>
        <w:br w:type="page"/>
      </w:r>
    </w:p>
    <w:p>
      <w:pPr>
        <w:pStyle w:val="BodyText"/>
        <w:jc w:val="start"/>
        <w:rPr>
          <w:color w:val="000000"/>
        </w:rPr>
      </w:pPr>
      <w:r>
        <w:rPr>
          <w:color w:val="000000"/>
        </w:rPr>
      </w:r>
      <w:bookmarkStart w:id="699" w:name="_DV_M532"/>
      <w:bookmarkStart w:id="700" w:name="_DV_M532"/>
      <w:bookmarkEnd w:id="700"/>
    </w:p>
    <w:p>
      <w:pPr>
        <w:pStyle w:val="BodyText"/>
        <w:rPr>
          <w:caps/>
          <w:color w:val="000000"/>
        </w:rPr>
      </w:pPr>
      <w:r>
        <w:rPr>
          <w:caps/>
          <w:color w:val="000000"/>
        </w:rPr>
      </w:r>
    </w:p>
    <w:p>
      <w:pPr>
        <w:pStyle w:val="BodyText"/>
        <w:jc w:val="start"/>
        <w:rPr>
          <w:b/>
          <w:bCs/>
          <w:caps/>
          <w:color w:val="000000"/>
        </w:rPr>
      </w:pPr>
      <w:bookmarkStart w:id="701" w:name="_DV_M533"/>
      <w:bookmarkEnd w:id="701"/>
      <w:r>
        <w:rPr>
          <w:b/>
          <w:bCs/>
          <w:caps/>
          <w:color w:val="000000"/>
        </w:rPr>
        <w:t>SHELL GAS (LATIN AMERICA) B.V.</w:t>
        <w:br/>
      </w:r>
    </w:p>
    <w:p>
      <w:pPr>
        <w:pStyle w:val="BodyText"/>
        <w:jc w:val="start"/>
        <w:rPr>
          <w:color w:val="000000"/>
        </w:rPr>
      </w:pPr>
      <w:bookmarkStart w:id="702" w:name="_DV_M534"/>
      <w:bookmarkEnd w:id="702"/>
      <w:r>
        <w:rPr>
          <w:color w:val="000000"/>
        </w:rPr>
        <w:t>By _________________________________</w:t>
        <w:br/>
        <w:t>Title:</w:t>
      </w:r>
      <w:r>
        <w:br w:type="page"/>
      </w:r>
    </w:p>
    <w:p>
      <w:pPr>
        <w:pStyle w:val="BodyText"/>
        <w:jc w:val="start"/>
        <w:rPr>
          <w:color w:val="000000"/>
        </w:rPr>
      </w:pPr>
      <w:r>
        <w:rPr>
          <w:color w:val="000000"/>
        </w:rPr>
      </w:r>
      <w:bookmarkStart w:id="703" w:name="_DV_M535"/>
      <w:bookmarkStart w:id="704" w:name="_DV_M535"/>
      <w:bookmarkEnd w:id="704"/>
    </w:p>
    <w:p>
      <w:pPr>
        <w:pStyle w:val="BodyText"/>
        <w:rPr>
          <w:caps/>
          <w:color w:val="000000"/>
        </w:rPr>
      </w:pPr>
      <w:r>
        <w:rPr>
          <w:caps/>
          <w:color w:val="000000"/>
        </w:rPr>
      </w:r>
    </w:p>
    <w:p>
      <w:pPr>
        <w:pStyle w:val="BodyText"/>
        <w:numPr>
          <w:ilvl w:val="0"/>
          <w:numId w:val="0"/>
        </w:numPr>
        <w:outlineLvl w:val="0"/>
        <w:rPr>
          <w:b/>
          <w:bCs/>
          <w:caps/>
          <w:color w:val="000000"/>
        </w:rPr>
      </w:pPr>
      <w:bookmarkStart w:id="705" w:name="_DV_M536"/>
      <w:bookmarkEnd w:id="705"/>
      <w:r>
        <w:rPr>
          <w:b/>
          <w:bCs/>
          <w:caps/>
          <w:color w:val="000000"/>
        </w:rPr>
        <w:t>SHELL OVERSEAS TRADING LIMITED</w:t>
      </w:r>
    </w:p>
    <w:p>
      <w:pPr>
        <w:pStyle w:val="BodyText"/>
        <w:rPr>
          <w:b/>
          <w:bCs/>
          <w:caps/>
          <w:color w:val="000000"/>
        </w:rPr>
      </w:pPr>
      <w:r>
        <w:rPr>
          <w:b/>
          <w:bCs/>
          <w:caps/>
          <w:color w:val="000000"/>
        </w:rPr>
      </w:r>
    </w:p>
    <w:p>
      <w:pPr>
        <w:pStyle w:val="BodyText"/>
        <w:jc w:val="start"/>
        <w:rPr>
          <w:color w:val="000000"/>
        </w:rPr>
      </w:pPr>
      <w:bookmarkStart w:id="706" w:name="_DV_M537"/>
      <w:bookmarkEnd w:id="706"/>
      <w:r>
        <w:rPr>
          <w:color w:val="000000"/>
        </w:rPr>
        <w:t>By _________________________________</w:t>
        <w:br/>
        <w:t>Title:</w:t>
      </w:r>
      <w:r>
        <w:br w:type="page"/>
      </w:r>
    </w:p>
    <w:p>
      <w:pPr>
        <w:pStyle w:val="BodyText"/>
        <w:jc w:val="start"/>
        <w:rPr>
          <w:color w:val="000000"/>
        </w:rPr>
      </w:pPr>
      <w:r>
        <w:rPr>
          <w:color w:val="000000"/>
        </w:rPr>
      </w:r>
      <w:bookmarkStart w:id="707" w:name="_DV_M538"/>
      <w:bookmarkStart w:id="708" w:name="_DV_M538"/>
      <w:bookmarkEnd w:id="708"/>
    </w:p>
    <w:p>
      <w:pPr>
        <w:pStyle w:val="BodyText"/>
        <w:numPr>
          <w:ilvl w:val="0"/>
          <w:numId w:val="0"/>
        </w:numPr>
        <w:jc w:val="start"/>
        <w:outlineLvl w:val="0"/>
        <w:rPr>
          <w:b/>
          <w:bCs/>
          <w:color w:val="000000"/>
        </w:rPr>
      </w:pPr>
      <w:bookmarkStart w:id="709" w:name="_DV_M539"/>
      <w:bookmarkEnd w:id="709"/>
      <w:r>
        <w:rPr>
          <w:b/>
          <w:bCs/>
          <w:color w:val="000000"/>
        </w:rPr>
        <w:t>ENRON CORP.</w:t>
      </w:r>
    </w:p>
    <w:p>
      <w:pPr>
        <w:pStyle w:val="BodyText"/>
        <w:rPr>
          <w:b/>
          <w:bCs/>
          <w:caps/>
          <w:color w:val="000000"/>
        </w:rPr>
      </w:pPr>
      <w:r>
        <w:rPr>
          <w:b/>
          <w:bCs/>
          <w:caps/>
          <w:color w:val="000000"/>
        </w:rPr>
      </w:r>
    </w:p>
    <w:p>
      <w:pPr>
        <w:pStyle w:val="BodyText"/>
        <w:jc w:val="start"/>
        <w:rPr>
          <w:color w:val="000000"/>
          <w:lang w:val="es-ES"/>
        </w:rPr>
      </w:pPr>
      <w:bookmarkStart w:id="710" w:name="_DV_M540"/>
      <w:bookmarkEnd w:id="710"/>
      <w:r>
        <w:rPr>
          <w:color w:val="000000"/>
          <w:lang w:val="es-ES"/>
        </w:rPr>
        <w:t>By _________________________________</w:t>
        <w:br/>
        <w:t>Title:</w:t>
      </w:r>
      <w:r>
        <w:br w:type="page"/>
      </w:r>
    </w:p>
    <w:p>
      <w:pPr>
        <w:pStyle w:val="BodyText"/>
        <w:jc w:val="start"/>
        <w:rPr>
          <w:color w:val="000000"/>
          <w:lang w:val="es-ES"/>
        </w:rPr>
      </w:pPr>
      <w:r>
        <w:rPr>
          <w:color w:val="000000"/>
          <w:lang w:val="es-ES"/>
        </w:rPr>
      </w:r>
      <w:bookmarkStart w:id="711" w:name="_DV_M541"/>
      <w:bookmarkStart w:id="712" w:name="_DV_M541"/>
      <w:bookmarkEnd w:id="712"/>
    </w:p>
    <w:p>
      <w:pPr>
        <w:pStyle w:val="BodyText"/>
        <w:jc w:val="start"/>
        <w:rPr>
          <w:b/>
          <w:bCs/>
          <w:color w:val="000000"/>
          <w:lang w:val="es-ES"/>
        </w:rPr>
      </w:pPr>
      <w:r>
        <w:rPr>
          <w:b/>
          <w:bCs/>
          <w:color w:val="000000"/>
          <w:lang w:val="es-ES"/>
        </w:rPr>
      </w:r>
    </w:p>
    <w:p>
      <w:pPr>
        <w:pStyle w:val="BodyText"/>
        <w:jc w:val="start"/>
        <w:rPr/>
      </w:pPr>
      <w:bookmarkStart w:id="713" w:name="_DV_M542"/>
      <w:bookmarkEnd w:id="713"/>
      <w:r>
        <w:rPr>
          <w:b/>
          <w:bCs/>
          <w:smallCaps/>
          <w:color w:val="000000"/>
          <w:lang w:val="es-ES"/>
        </w:rPr>
        <w:t>EPE-</w:t>
      </w:r>
      <w:r>
        <w:rPr>
          <w:b/>
          <w:bCs/>
          <w:color w:val="000000"/>
          <w:lang w:val="es-ES"/>
        </w:rPr>
        <w:t xml:space="preserve">EMPRESA PRODUTORA DE </w:t>
        <w:br/>
        <w:t>ENERGIA LTDA.</w:t>
      </w:r>
    </w:p>
    <w:p>
      <w:pPr>
        <w:pStyle w:val="BodyText"/>
        <w:rPr>
          <w:b/>
          <w:bCs/>
          <w:caps/>
          <w:color w:val="000000"/>
          <w:lang w:val="es-ES"/>
        </w:rPr>
      </w:pPr>
      <w:r>
        <w:rPr>
          <w:b/>
          <w:bCs/>
          <w:caps/>
          <w:color w:val="000000"/>
          <w:lang w:val="es-ES"/>
        </w:rPr>
      </w:r>
    </w:p>
    <w:p>
      <w:pPr>
        <w:pStyle w:val="BodyText"/>
        <w:jc w:val="start"/>
        <w:rPr>
          <w:color w:val="000000"/>
          <w:lang w:val="es-ES"/>
        </w:rPr>
      </w:pPr>
      <w:bookmarkStart w:id="714" w:name="_DV_M543"/>
      <w:bookmarkEnd w:id="714"/>
      <w:r>
        <w:rPr>
          <w:color w:val="000000"/>
          <w:lang w:val="es-ES"/>
        </w:rPr>
        <w:t>By _________________________________</w:t>
        <w:br/>
        <w:t>Title:</w:t>
      </w:r>
      <w:r>
        <w:br w:type="page"/>
      </w:r>
    </w:p>
    <w:p>
      <w:pPr>
        <w:pStyle w:val="BodyText"/>
        <w:rPr>
          <w:color w:val="000000"/>
          <w:lang w:val="es-ES"/>
        </w:rPr>
      </w:pPr>
      <w:r>
        <w:rPr>
          <w:color w:val="000000"/>
          <w:lang w:val="es-ES"/>
        </w:rPr>
      </w:r>
      <w:bookmarkStart w:id="715" w:name="_DV_M544"/>
      <w:bookmarkStart w:id="716" w:name="_DV_M544"/>
      <w:bookmarkEnd w:id="716"/>
    </w:p>
    <w:p>
      <w:pPr>
        <w:pStyle w:val="BodyText"/>
        <w:numPr>
          <w:ilvl w:val="0"/>
          <w:numId w:val="0"/>
        </w:numPr>
        <w:outlineLvl w:val="0"/>
        <w:rPr>
          <w:b/>
          <w:bCs/>
          <w:color w:val="000000"/>
          <w:lang w:val="es-ES"/>
        </w:rPr>
      </w:pPr>
      <w:bookmarkStart w:id="717" w:name="_DV_M545"/>
      <w:bookmarkEnd w:id="717"/>
      <w:r>
        <w:rPr>
          <w:b/>
          <w:bCs/>
          <w:color w:val="000000"/>
          <w:lang w:val="es-ES"/>
        </w:rPr>
        <w:t>GASORIENTE BOLIVIANO LTDA.</w:t>
      </w:r>
    </w:p>
    <w:p>
      <w:pPr>
        <w:pStyle w:val="BodyText"/>
        <w:rPr>
          <w:b/>
          <w:bCs/>
          <w:caps/>
          <w:color w:val="000000"/>
          <w:lang w:val="es-ES"/>
        </w:rPr>
      </w:pPr>
      <w:r>
        <w:rPr>
          <w:b/>
          <w:bCs/>
          <w:caps/>
          <w:color w:val="000000"/>
          <w:lang w:val="es-ES"/>
        </w:rPr>
      </w:r>
    </w:p>
    <w:p>
      <w:pPr>
        <w:pStyle w:val="BodyText"/>
        <w:jc w:val="start"/>
        <w:rPr>
          <w:color w:val="000000"/>
        </w:rPr>
      </w:pPr>
      <w:bookmarkStart w:id="718" w:name="_DV_M546"/>
      <w:bookmarkEnd w:id="718"/>
      <w:r>
        <w:rPr>
          <w:color w:val="000000"/>
        </w:rPr>
        <w:t>By _________________________________</w:t>
        <w:br/>
        <w:t>Title:</w:t>
      </w:r>
      <w:r>
        <w:br w:type="page"/>
      </w:r>
    </w:p>
    <w:p>
      <w:pPr>
        <w:pStyle w:val="BodyText"/>
        <w:jc w:val="start"/>
        <w:rPr>
          <w:color w:val="000000"/>
        </w:rPr>
      </w:pPr>
      <w:r>
        <w:rPr>
          <w:color w:val="000000"/>
        </w:rPr>
      </w:r>
      <w:bookmarkStart w:id="719" w:name="_DV_M547"/>
      <w:bookmarkStart w:id="720" w:name="_DV_M547"/>
      <w:bookmarkEnd w:id="720"/>
    </w:p>
    <w:p>
      <w:pPr>
        <w:pStyle w:val="BodyText"/>
        <w:rPr>
          <w:color w:val="000000"/>
        </w:rPr>
      </w:pPr>
      <w:r>
        <w:rPr>
          <w:color w:val="000000"/>
        </w:rPr>
      </w:r>
    </w:p>
    <w:p>
      <w:pPr>
        <w:pStyle w:val="BodyText"/>
        <w:jc w:val="start"/>
        <w:rPr>
          <w:b/>
          <w:bCs/>
          <w:color w:val="000000"/>
        </w:rPr>
      </w:pPr>
      <w:bookmarkStart w:id="721" w:name="_DV_M548"/>
      <w:bookmarkEnd w:id="721"/>
      <w:r>
        <w:rPr>
          <w:b/>
          <w:bCs/>
          <w:color w:val="000000"/>
        </w:rPr>
        <w:t xml:space="preserve">GASOCIDENTE DO MATO GROSSO </w:t>
        <w:br/>
        <w:t>LTDA.</w:t>
      </w:r>
    </w:p>
    <w:p>
      <w:pPr>
        <w:pStyle w:val="BodyText"/>
        <w:rPr>
          <w:b/>
          <w:bCs/>
          <w:caps/>
          <w:color w:val="000000"/>
        </w:rPr>
      </w:pPr>
      <w:r>
        <w:rPr>
          <w:b/>
          <w:bCs/>
          <w:caps/>
          <w:color w:val="000000"/>
        </w:rPr>
      </w:r>
    </w:p>
    <w:p>
      <w:pPr>
        <w:pStyle w:val="BodyText"/>
        <w:jc w:val="start"/>
        <w:rPr>
          <w:color w:val="000000"/>
        </w:rPr>
      </w:pPr>
      <w:bookmarkStart w:id="722" w:name="_DV_M549"/>
      <w:bookmarkEnd w:id="722"/>
      <w:r>
        <w:rPr>
          <w:color w:val="000000"/>
        </w:rPr>
        <w:t>By _________________________________</w:t>
        <w:br/>
        <w:t>Title:</w:t>
      </w:r>
      <w:r>
        <w:br w:type="page"/>
      </w:r>
    </w:p>
    <w:p>
      <w:pPr>
        <w:pStyle w:val="BodyText"/>
        <w:jc w:val="start"/>
        <w:rPr>
          <w:color w:val="000000"/>
        </w:rPr>
      </w:pPr>
      <w:r>
        <w:rPr>
          <w:color w:val="000000"/>
        </w:rPr>
      </w:r>
      <w:bookmarkStart w:id="723" w:name="_DV_M550"/>
      <w:bookmarkStart w:id="724" w:name="_DV_M550"/>
      <w:bookmarkEnd w:id="724"/>
    </w:p>
    <w:p>
      <w:pPr>
        <w:pStyle w:val="EndnoteText"/>
        <w:rPr>
          <w:b/>
          <w:bCs/>
          <w:color w:val="000000"/>
          <w:sz w:val="24"/>
          <w:szCs w:val="24"/>
        </w:rPr>
      </w:pPr>
      <w:r>
        <w:rPr>
          <w:b/>
          <w:bCs/>
          <w:color w:val="000000"/>
          <w:sz w:val="24"/>
          <w:szCs w:val="24"/>
        </w:rPr>
      </w:r>
    </w:p>
    <w:p>
      <w:pPr>
        <w:pStyle w:val="BodyText"/>
        <w:spacing w:before="0" w:after="0"/>
        <w:jc w:val="start"/>
        <w:rPr>
          <w:b/>
          <w:bCs/>
          <w:color w:val="000000"/>
        </w:rPr>
      </w:pPr>
      <w:bookmarkStart w:id="725" w:name="_DV_M551"/>
      <w:bookmarkEnd w:id="725"/>
      <w:r>
        <w:rPr>
          <w:b/>
          <w:bCs/>
          <w:color w:val="000000"/>
        </w:rPr>
        <w:t>EPE HOLDINGS LTD.</w:t>
      </w:r>
    </w:p>
    <w:p>
      <w:pPr>
        <w:pStyle w:val="EndnoteText"/>
        <w:rPr>
          <w:b/>
          <w:bCs/>
          <w:color w:val="000000"/>
          <w:sz w:val="24"/>
          <w:szCs w:val="24"/>
        </w:rPr>
      </w:pPr>
      <w:r>
        <w:rPr>
          <w:b/>
          <w:bCs/>
          <w:color w:val="000000"/>
          <w:sz w:val="24"/>
          <w:szCs w:val="24"/>
        </w:rPr>
      </w:r>
    </w:p>
    <w:p>
      <w:pPr>
        <w:pStyle w:val="BodyText"/>
        <w:jc w:val="start"/>
        <w:rPr>
          <w:b/>
          <w:bCs/>
          <w:color w:val="000000"/>
          <w:sz w:val="24"/>
          <w:szCs w:val="24"/>
        </w:rPr>
      </w:pPr>
      <w:r>
        <w:rPr>
          <w:b/>
          <w:bCs/>
          <w:color w:val="000000"/>
          <w:sz w:val="24"/>
          <w:szCs w:val="24"/>
        </w:rPr>
      </w:r>
    </w:p>
    <w:p>
      <w:pPr>
        <w:pStyle w:val="BodyText"/>
        <w:jc w:val="start"/>
        <w:rPr>
          <w:color w:val="000000"/>
        </w:rPr>
      </w:pPr>
      <w:bookmarkStart w:id="726" w:name="_DV_M552"/>
      <w:bookmarkEnd w:id="726"/>
      <w:r>
        <w:rPr>
          <w:color w:val="000000"/>
        </w:rPr>
        <w:t>By _________________________________</w:t>
        <w:br/>
        <w:t>Title:</w:t>
      </w:r>
      <w:r>
        <w:br w:type="page"/>
      </w:r>
    </w:p>
    <w:p>
      <w:pPr>
        <w:pStyle w:val="BodyText"/>
        <w:spacing w:before="0" w:after="0"/>
        <w:jc w:val="start"/>
        <w:rPr>
          <w:color w:val="000000"/>
        </w:rPr>
      </w:pPr>
      <w:r>
        <w:rPr>
          <w:color w:val="000000"/>
        </w:rPr>
      </w:r>
      <w:bookmarkStart w:id="727" w:name="_DV_M553"/>
      <w:bookmarkStart w:id="728" w:name="_DV_M553"/>
      <w:bookmarkEnd w:id="728"/>
    </w:p>
    <w:p>
      <w:pPr>
        <w:pStyle w:val="BodyText"/>
        <w:spacing w:before="0" w:after="0"/>
        <w:jc w:val="start"/>
        <w:rPr>
          <w:b/>
          <w:bCs/>
          <w:color w:val="000000"/>
        </w:rPr>
      </w:pPr>
      <w:bookmarkStart w:id="729" w:name="_DV_M554"/>
      <w:bookmarkEnd w:id="729"/>
      <w:r>
        <w:rPr>
          <w:b/>
          <w:bCs/>
          <w:color w:val="000000"/>
        </w:rPr>
        <w:t>EPE INVESTMENTS LTD.</w:t>
      </w:r>
    </w:p>
    <w:p>
      <w:pPr>
        <w:pStyle w:val="EndnoteText"/>
        <w:rPr>
          <w:b/>
          <w:bCs/>
          <w:color w:val="000000"/>
          <w:sz w:val="24"/>
          <w:szCs w:val="24"/>
        </w:rPr>
      </w:pPr>
      <w:r>
        <w:rPr>
          <w:b/>
          <w:bCs/>
          <w:color w:val="000000"/>
          <w:sz w:val="24"/>
          <w:szCs w:val="24"/>
        </w:rPr>
      </w:r>
    </w:p>
    <w:p>
      <w:pPr>
        <w:pStyle w:val="BodyText"/>
        <w:jc w:val="start"/>
        <w:rPr>
          <w:b/>
          <w:bCs/>
          <w:color w:val="000000"/>
          <w:sz w:val="24"/>
          <w:szCs w:val="24"/>
        </w:rPr>
      </w:pPr>
      <w:r>
        <w:rPr>
          <w:b/>
          <w:bCs/>
          <w:color w:val="000000"/>
          <w:sz w:val="24"/>
          <w:szCs w:val="24"/>
        </w:rPr>
      </w:r>
    </w:p>
    <w:p>
      <w:pPr>
        <w:pStyle w:val="BodyText"/>
        <w:jc w:val="start"/>
        <w:rPr>
          <w:color w:val="000000"/>
        </w:rPr>
      </w:pPr>
      <w:bookmarkStart w:id="730" w:name="_DV_M555"/>
      <w:bookmarkEnd w:id="730"/>
      <w:r>
        <w:rPr>
          <w:color w:val="000000"/>
        </w:rPr>
        <w:t>By _________________________________</w:t>
        <w:br/>
        <w:t>Title:</w:t>
      </w:r>
      <w:r>
        <w:br w:type="page"/>
      </w:r>
    </w:p>
    <w:p>
      <w:pPr>
        <w:pStyle w:val="BodyText"/>
        <w:spacing w:before="0" w:after="0"/>
        <w:jc w:val="start"/>
        <w:rPr>
          <w:color w:val="000000"/>
        </w:rPr>
      </w:pPr>
      <w:r>
        <w:rPr>
          <w:color w:val="000000"/>
        </w:rPr>
      </w:r>
      <w:bookmarkStart w:id="731" w:name="_DV_M556"/>
      <w:bookmarkStart w:id="732" w:name="_DV_M556"/>
      <w:bookmarkEnd w:id="732"/>
    </w:p>
    <w:p>
      <w:pPr>
        <w:pStyle w:val="BodyText"/>
        <w:spacing w:before="0" w:after="0"/>
        <w:jc w:val="start"/>
        <w:rPr>
          <w:b/>
          <w:bCs/>
          <w:color w:val="000000"/>
        </w:rPr>
      </w:pPr>
      <w:bookmarkStart w:id="733" w:name="_DV_M557"/>
      <w:bookmarkEnd w:id="733"/>
      <w:r>
        <w:rPr>
          <w:b/>
          <w:bCs/>
          <w:color w:val="000000"/>
        </w:rPr>
        <w:t>GASMAT HOLDINGS LTD.</w:t>
      </w:r>
    </w:p>
    <w:p>
      <w:pPr>
        <w:pStyle w:val="EndnoteText"/>
        <w:rPr>
          <w:b/>
          <w:bCs/>
          <w:color w:val="000000"/>
          <w:sz w:val="24"/>
          <w:szCs w:val="24"/>
        </w:rPr>
      </w:pPr>
      <w:r>
        <w:rPr>
          <w:b/>
          <w:bCs/>
          <w:color w:val="000000"/>
          <w:sz w:val="24"/>
          <w:szCs w:val="24"/>
        </w:rPr>
      </w:r>
    </w:p>
    <w:p>
      <w:pPr>
        <w:pStyle w:val="BodyText"/>
        <w:jc w:val="start"/>
        <w:rPr>
          <w:b/>
          <w:bCs/>
          <w:color w:val="000000"/>
          <w:sz w:val="24"/>
          <w:szCs w:val="24"/>
        </w:rPr>
      </w:pPr>
      <w:r>
        <w:rPr>
          <w:b/>
          <w:bCs/>
          <w:color w:val="000000"/>
          <w:sz w:val="24"/>
          <w:szCs w:val="24"/>
        </w:rPr>
      </w:r>
    </w:p>
    <w:p>
      <w:pPr>
        <w:pStyle w:val="BodyText"/>
        <w:jc w:val="start"/>
        <w:rPr>
          <w:color w:val="000000"/>
        </w:rPr>
      </w:pPr>
      <w:bookmarkStart w:id="734" w:name="_DV_M558"/>
      <w:bookmarkEnd w:id="734"/>
      <w:r>
        <w:rPr>
          <w:color w:val="000000"/>
        </w:rPr>
        <w:t>By _________________________________</w:t>
        <w:br/>
        <w:t>Title:</w:t>
      </w:r>
      <w:r>
        <w:br w:type="page"/>
      </w:r>
    </w:p>
    <w:p>
      <w:pPr>
        <w:pStyle w:val="EndnoteText"/>
        <w:rPr>
          <w:b/>
          <w:bCs/>
          <w:color w:val="000000"/>
          <w:sz w:val="24"/>
          <w:szCs w:val="24"/>
        </w:rPr>
      </w:pPr>
      <w:r>
        <w:rPr>
          <w:b/>
          <w:bCs/>
          <w:color w:val="000000"/>
          <w:sz w:val="24"/>
          <w:szCs w:val="24"/>
        </w:rPr>
      </w:r>
      <w:bookmarkStart w:id="735" w:name="_DV_M559"/>
      <w:bookmarkStart w:id="736" w:name="_DV_M559"/>
      <w:bookmarkEnd w:id="736"/>
    </w:p>
    <w:p>
      <w:pPr>
        <w:pStyle w:val="EndnoteText"/>
        <w:rPr>
          <w:b/>
          <w:bCs/>
          <w:color w:val="000000"/>
          <w:sz w:val="24"/>
          <w:szCs w:val="24"/>
        </w:rPr>
      </w:pPr>
      <w:bookmarkStart w:id="737" w:name="_DV_M560"/>
      <w:bookmarkEnd w:id="737"/>
      <w:r>
        <w:rPr>
          <w:b/>
          <w:bCs/>
          <w:color w:val="000000"/>
          <w:sz w:val="24"/>
          <w:szCs w:val="24"/>
        </w:rPr>
        <w:t xml:space="preserve">GASMAT INVESTMENTS LTD. </w:t>
      </w:r>
    </w:p>
    <w:p>
      <w:pPr>
        <w:pStyle w:val="EndnoteText"/>
        <w:rPr>
          <w:b/>
          <w:bCs/>
          <w:color w:val="000000"/>
          <w:sz w:val="24"/>
          <w:szCs w:val="24"/>
        </w:rPr>
      </w:pPr>
      <w:r>
        <w:rPr>
          <w:b/>
          <w:bCs/>
          <w:color w:val="000000"/>
          <w:sz w:val="24"/>
          <w:szCs w:val="24"/>
        </w:rPr>
      </w:r>
    </w:p>
    <w:p>
      <w:pPr>
        <w:pStyle w:val="BodyText"/>
        <w:jc w:val="start"/>
        <w:rPr>
          <w:b/>
          <w:bCs/>
          <w:color w:val="000000"/>
          <w:sz w:val="24"/>
          <w:szCs w:val="24"/>
        </w:rPr>
      </w:pPr>
      <w:r>
        <w:rPr>
          <w:b/>
          <w:bCs/>
          <w:color w:val="000000"/>
          <w:sz w:val="24"/>
          <w:szCs w:val="24"/>
        </w:rPr>
      </w:r>
    </w:p>
    <w:p>
      <w:pPr>
        <w:pStyle w:val="BodyText"/>
        <w:jc w:val="start"/>
        <w:rPr>
          <w:color w:val="000000"/>
        </w:rPr>
      </w:pPr>
      <w:bookmarkStart w:id="738" w:name="_DV_M561"/>
      <w:bookmarkEnd w:id="738"/>
      <w:r>
        <w:rPr>
          <w:color w:val="000000"/>
        </w:rPr>
        <w:t>By _________________________________</w:t>
        <w:br/>
        <w:t>Title:</w:t>
      </w:r>
      <w:r>
        <w:br w:type="page"/>
      </w:r>
    </w:p>
    <w:p>
      <w:pPr>
        <w:pStyle w:val="BodyText"/>
        <w:spacing w:before="0" w:after="0"/>
        <w:jc w:val="start"/>
        <w:rPr>
          <w:b/>
          <w:bCs/>
          <w:color w:val="000000"/>
        </w:rPr>
      </w:pPr>
      <w:r>
        <w:rPr>
          <w:b/>
          <w:bCs/>
          <w:color w:val="000000"/>
        </w:rPr>
      </w:r>
      <w:bookmarkStart w:id="739" w:name="_DV_M562"/>
      <w:bookmarkStart w:id="740" w:name="_DV_M562"/>
      <w:bookmarkEnd w:id="740"/>
    </w:p>
    <w:p>
      <w:pPr>
        <w:pStyle w:val="BodyText"/>
        <w:spacing w:before="0" w:after="0"/>
        <w:jc w:val="start"/>
        <w:rPr/>
      </w:pPr>
      <w:bookmarkStart w:id="741" w:name="_DV_M563"/>
      <w:bookmarkEnd w:id="741"/>
      <w:r>
        <w:rPr>
          <w:b/>
          <w:bCs/>
          <w:color w:val="000000"/>
        </w:rPr>
        <w:t xml:space="preserve">CITIBANK, N.A. </w:t>
      </w:r>
      <w:r>
        <w:rPr>
          <w:color w:val="000000"/>
        </w:rPr>
        <w:br/>
        <w:t xml:space="preserve">not in its individual capacity, but solely </w:t>
      </w:r>
    </w:p>
    <w:p>
      <w:pPr>
        <w:pStyle w:val="BodyText"/>
        <w:jc w:val="start"/>
        <w:rPr>
          <w:color w:val="000000"/>
        </w:rPr>
      </w:pPr>
      <w:bookmarkStart w:id="742" w:name="_DV_M564"/>
      <w:bookmarkEnd w:id="742"/>
      <w:r>
        <w:rPr>
          <w:color w:val="000000"/>
        </w:rPr>
        <w:t>as Common Agent</w:t>
      </w:r>
    </w:p>
    <w:p>
      <w:pPr>
        <w:pStyle w:val="BodyText"/>
        <w:rPr>
          <w:caps/>
          <w:color w:val="000000"/>
        </w:rPr>
      </w:pPr>
      <w:r>
        <w:rPr>
          <w:caps/>
          <w:color w:val="000000"/>
        </w:rPr>
      </w:r>
    </w:p>
    <w:p>
      <w:pPr>
        <w:pStyle w:val="BodyText"/>
        <w:jc w:val="start"/>
        <w:rPr>
          <w:color w:val="000000"/>
        </w:rPr>
      </w:pPr>
      <w:bookmarkStart w:id="743" w:name="_DV_M565"/>
      <w:bookmarkEnd w:id="743"/>
      <w:r>
        <w:rPr>
          <w:color w:val="000000"/>
        </w:rPr>
        <w:t>By _________________________________</w:t>
        <w:br/>
        <w:t>Title:</w:t>
      </w:r>
    </w:p>
    <w:p>
      <w:pPr>
        <w:pStyle w:val="EndnoteText"/>
        <w:rPr>
          <w:color w:val="000000"/>
          <w:sz w:val="24"/>
          <w:szCs w:val="24"/>
        </w:rPr>
      </w:pPr>
      <w:r>
        <w:rPr>
          <w:color w:val="000000"/>
          <w:sz w:val="24"/>
          <w:szCs w:val="24"/>
        </w:rPr>
      </w:r>
    </w:p>
    <w:p>
      <w:pPr>
        <w:pStyle w:val="EndnoteText"/>
        <w:rPr>
          <w:b/>
          <w:bCs/>
          <w:color w:val="000000"/>
          <w:sz w:val="24"/>
          <w:szCs w:val="24"/>
        </w:rPr>
      </w:pPr>
      <w:r>
        <w:rPr>
          <w:b/>
          <w:bCs/>
          <w:color w:val="000000"/>
          <w:sz w:val="24"/>
          <w:szCs w:val="24"/>
        </w:rPr>
      </w:r>
    </w:p>
    <w:p>
      <w:pPr>
        <w:pStyle w:val="EndnoteText"/>
        <w:rPr>
          <w:b/>
          <w:bCs/>
          <w:color w:val="000000"/>
          <w:sz w:val="24"/>
          <w:szCs w:val="24"/>
        </w:rPr>
      </w:pPr>
      <w:r>
        <w:rPr>
          <w:b/>
          <w:bCs/>
          <w:color w:val="000000"/>
          <w:sz w:val="24"/>
          <w:szCs w:val="24"/>
        </w:rPr>
      </w:r>
    </w:p>
    <w:p>
      <w:pPr>
        <w:pStyle w:val="EndnoteText"/>
        <w:rPr>
          <w:b/>
          <w:bCs/>
          <w:color w:val="000000"/>
          <w:sz w:val="24"/>
          <w:szCs w:val="24"/>
        </w:rPr>
      </w:pPr>
      <w:r>
        <w:rPr>
          <w:b/>
          <w:bCs/>
          <w:color w:val="000000"/>
          <w:sz w:val="24"/>
          <w:szCs w:val="24"/>
        </w:rPr>
      </w:r>
    </w:p>
    <w:p>
      <w:pPr>
        <w:pStyle w:val="Normal"/>
        <w:ind w:firstLine="540" w:start="6480" w:end="0"/>
        <w:jc w:val="end"/>
        <w:rPr>
          <w:b/>
          <w:bCs/>
          <w:color w:val="000000"/>
          <w:sz w:val="24"/>
          <w:szCs w:val="24"/>
        </w:rPr>
      </w:pPr>
      <w:r>
        <w:rPr>
          <w:b/>
          <w:bCs/>
          <w:color w:val="000000"/>
          <w:sz w:val="24"/>
          <w:szCs w:val="24"/>
        </w:rPr>
      </w:r>
    </w:p>
    <w:p>
      <w:pPr>
        <w:pStyle w:val="Normal"/>
        <w:ind w:firstLine="540" w:start="6480" w:end="0"/>
        <w:jc w:val="end"/>
        <w:rPr>
          <w:color w:val="000000"/>
        </w:rPr>
      </w:pPr>
      <w:r>
        <w:rPr>
          <w:color w:val="000000"/>
        </w:rPr>
      </w:r>
    </w:p>
    <w:p>
      <w:pPr>
        <w:pStyle w:val="Normal"/>
        <w:ind w:firstLine="540" w:start="6480" w:end="0"/>
        <w:jc w:val="end"/>
        <w:rPr>
          <w:color w:val="000000"/>
        </w:rPr>
      </w:pPr>
      <w:r>
        <w:rPr>
          <w:color w:val="000000"/>
        </w:rPr>
      </w:r>
    </w:p>
    <w:p>
      <w:pPr>
        <w:pStyle w:val="Normal"/>
        <w:spacing w:before="0" w:after="240"/>
        <w:ind w:firstLine="540" w:start="6480" w:end="0"/>
        <w:jc w:val="end"/>
        <w:rPr>
          <w:color w:val="000000"/>
        </w:rPr>
      </w:pPr>
      <w:r>
        <w:rPr>
          <w:color w:val="000000"/>
        </w:rPr>
      </w:r>
    </w:p>
    <w:sectPr>
      <w:headerReference w:type="default" r:id="rId12"/>
      <w:headerReference w:type="first" r:id="rId13"/>
      <w:footerReference w:type="default" r:id="rId14"/>
      <w:footerReference w:type="first" r:id="rId15"/>
      <w:footnotePr>
        <w:numFmt w:val="decimal"/>
      </w:footnotePr>
      <w:type w:val="nextPage"/>
      <w:pgSz w:w="12240" w:h="15840"/>
      <w:pgMar w:left="1440" w:right="1440" w:gutter="0" w:header="72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Bembo">
    <w:charset w:val="00" w:characterSet="windows-1252"/>
    <w:family w:val="roman"/>
    <w:pitch w:val="variable"/>
  </w:font>
  <w:font w:name="Marlett">
    <w:charset w:val="02"/>
    <w:family w:val="auto"/>
    <w:pitch w:val="variable"/>
  </w:font>
  <w:font w:name="Wingdings">
    <w:charset w:val="02"/>
    <w:family w:val="auto"/>
    <w:pitch w:val="variable"/>
  </w:font>
  <w:font w:name="Courier New">
    <w:charset w:val="00" w:characterSet="windows-1252"/>
    <w:family w:val="modern"/>
    <w:pitch w:val="default"/>
  </w:font>
  <w:font w:name="Palatino">
    <w:altName w:val="Book Antiqua"/>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exact" w:line="200" w:before="0" w:after="240"/>
      <w:rPr/>
    </w:pPr>
    <w:bookmarkStart w:id="111" w:name="_DV_C5"/>
    <w:r>
      <w:rPr>
        <w:rStyle w:val="DeltaViewDeletion"/>
        <w:lang w:val="en-CA" w:eastAsia="en-CA"/>
      </w:rPr>
      <w:t>Copy.001</w:t>
    </w:r>
    <w:bookmarkStart w:id="112" w:name="_DV_C6"/>
    <w:bookmarkEnd w:id="111"/>
    <w:r>
      <w:rPr>
        <w:rStyle w:val="DeltaViewInsertion"/>
        <w:lang w:val="en-CA" w:eastAsia="en-CA"/>
      </w:rPr>
      <w:t>NY991050.085</w:t>
    </w:r>
    <w:bookmarkEnd w:id="112"/>
    <w:r>
      <w:rPr>
        <w:color w:val="000000"/>
      </w:rPr>
      <w:t>/</w:t>
    </w:r>
    <w:bookmarkStart w:id="113" w:name="_DV_C7"/>
    <w:r>
      <w:rPr>
        <w:rStyle w:val="DeltaViewDeletion"/>
      </w:rPr>
      <w:fldChar w:fldCharType="begin"/>
    </w:r>
    <w:r>
      <w:rPr>
        <w:rStyle w:val="DeltaViewDeletion"/>
      </w:rPr>
      <w:instrText xml:space="preserve"> SUBJECT </w:instrText>
    </w:r>
    <w:r>
      <w:rPr>
        <w:rStyle w:val="DeltaViewDeletion"/>
      </w:rPr>
      <w:fldChar w:fldCharType="separate"/>
    </w:r>
    <w:r>
      <w:rPr>
        <w:rStyle w:val="DeltaViewDeletion"/>
      </w:rPr>
      <w:t>62+</w:t>
    </w:r>
    <w:r>
      <w:rPr>
        <w:rStyle w:val="DeltaViewDeletion"/>
      </w:rPr>
      <w:fldChar w:fldCharType="end"/>
    </w:r>
    <w:bookmarkStart w:id="114" w:name="_DV_C8"/>
    <w:bookmarkEnd w:id="113"/>
    <w:r>
      <w:rPr>
        <w:rStyle w:val="DeltaViewInsertion"/>
      </w:rPr>
      <w:fldChar w:fldCharType="begin"/>
    </w:r>
    <w:r>
      <w:rPr>
        <w:rStyle w:val="DeltaViewInsertion"/>
      </w:rPr>
      <w:instrText xml:space="preserve"> SUBJECT </w:instrText>
    </w:r>
    <w:r>
      <w:rPr>
        <w:rStyle w:val="DeltaViewInsertion"/>
      </w:rPr>
      <w:fldChar w:fldCharType="separate"/>
    </w:r>
    <w:r>
      <w:rPr>
        <w:rStyle w:val="DeltaViewInsertion"/>
      </w:rPr>
      <w:t>62+</w:t>
    </w:r>
    <w:r>
      <w:rPr>
        <w:rStyle w:val="DeltaViewInsertion"/>
      </w:rPr>
      <w:fldChar w:fldCharType="end"/>
    </w:r>
    <w:bookmarkEnd w:id="114"/>
    <w:r>
      <w:rPr>
        <w:color w:val="000000"/>
      </w:rP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II</w:t>
    </w:r>
    <w:r>
      <w:rPr>
        <w:rStyle w:val="PageNumber"/>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8280"/>
        <w:tab w:val="right" w:pos="9090" w:leader="none"/>
      </w:tabs>
      <w:spacing w:lineRule="exact" w:line="200" w:before="0" w:after="240"/>
      <w:ind w:end="360"/>
      <w:rPr/>
    </w:pPr>
    <w:bookmarkStart w:id="744" w:name="_DV_C9"/>
    <w:r>
      <w:rPr>
        <w:rStyle w:val="DeltaViewDeletion"/>
        <w:lang w:val="en-CA" w:eastAsia="en-CA"/>
      </w:rPr>
      <w:t>Copy.001</w:t>
    </w:r>
    <w:bookmarkStart w:id="745" w:name="_DV_C10"/>
    <w:bookmarkEnd w:id="744"/>
    <w:r>
      <w:rPr>
        <w:rStyle w:val="DeltaViewInsertion"/>
        <w:lang w:val="en-CA" w:eastAsia="en-CA"/>
      </w:rPr>
      <w:t>NY991050.085</w:t>
    </w:r>
    <w:bookmarkEnd w:id="745"/>
    <w:r>
      <w:rPr>
        <w:color w:val="000000"/>
      </w:rPr>
      <w:t>/</w:t>
    </w:r>
    <w:bookmarkStart w:id="746" w:name="_DV_C11"/>
    <w:r>
      <w:rPr>
        <w:rStyle w:val="DeltaViewDeletion"/>
      </w:rPr>
      <w:fldChar w:fldCharType="begin"/>
    </w:r>
    <w:r>
      <w:rPr>
        <w:rStyle w:val="DeltaViewDeletion"/>
      </w:rPr>
      <w:instrText xml:space="preserve"> SUBJECT </w:instrText>
    </w:r>
    <w:r>
      <w:rPr>
        <w:rStyle w:val="DeltaViewDeletion"/>
      </w:rPr>
      <w:fldChar w:fldCharType="separate"/>
    </w:r>
    <w:r>
      <w:rPr>
        <w:rStyle w:val="DeltaViewDeletion"/>
      </w:rPr>
      <w:t>62+</w:t>
    </w:r>
    <w:r>
      <w:rPr>
        <w:rStyle w:val="DeltaViewDeletion"/>
      </w:rPr>
      <w:fldChar w:fldCharType="end"/>
    </w:r>
    <w:bookmarkStart w:id="747" w:name="_DV_C12"/>
    <w:bookmarkEnd w:id="746"/>
    <w:r>
      <w:rPr>
        <w:rStyle w:val="DeltaViewInsertion"/>
      </w:rPr>
      <w:fldChar w:fldCharType="begin"/>
    </w:r>
    <w:r>
      <w:rPr>
        <w:rStyle w:val="DeltaViewInsertion"/>
      </w:rPr>
      <w:instrText xml:space="preserve"> SUBJECT </w:instrText>
    </w:r>
    <w:r>
      <w:rPr>
        <w:rStyle w:val="DeltaViewInsertion"/>
      </w:rPr>
      <w:fldChar w:fldCharType="separate"/>
    </w:r>
    <w:r>
      <w:rPr>
        <w:rStyle w:val="DeltaViewInsertion"/>
      </w:rPr>
      <w:t>62+</w:t>
    </w:r>
    <w:r>
      <w:rPr>
        <w:rStyle w:val="DeltaViewInsertion"/>
      </w:rPr>
      <w:fldChar w:fldCharType="end"/>
    </w:r>
    <w:bookmarkEnd w:id="747"/>
    <w:r>
      <w:rPr>
        <w:color w:val="000000"/>
      </w:rP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60</w:t>
    </w:r>
    <w:r>
      <w:rPr>
        <w:rStyle w:val="PageNumber"/>
      </w:rPr>
      <w:fldChar w:fldCharType="end"/>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spacing w:before="0" w:after="120"/>
        <w:ind w:hanging="187" w:start="187" w:end="0"/>
        <w:rPr/>
      </w:pPr>
      <w:r>
        <w:rPr>
          <w:rStyle w:val="FootnoteCharacters"/>
        </w:rPr>
        <w:footnoteRef/>
      </w:r>
      <w:r>
        <w:rPr/>
        <w:t xml:space="preserve"> </w:t>
      </w:r>
      <w:r>
        <w:rPr/>
        <w:t xml:space="preserve">Sponsors, please provide ownership details to give effect to the Transredes transfer.  </w:t>
      </w:r>
    </w:p>
  </w:footnote>
  <w:footnote w:id="3">
    <w:p>
      <w:pPr>
        <w:pStyle w:val="FootnoteText"/>
        <w:spacing w:before="0" w:after="120"/>
        <w:ind w:hanging="187" w:start="187" w:end="0"/>
        <w:rPr/>
      </w:pPr>
      <w:r>
        <w:rPr>
          <w:rStyle w:val="FootnoteCharacters"/>
        </w:rPr>
        <w:footnoteRef/>
      </w:r>
      <w:r>
        <w:rPr/>
        <w:t xml:space="preserve"> </w:t>
      </w:r>
      <w:r>
        <w:rPr/>
        <w:t>This schedule will provide for regularly scheduled contributions based upon the anticipated costs as reflected in the construction budget.</w:t>
      </w:r>
    </w:p>
  </w:footnote>
  <w:footnote w:id="4">
    <w:p>
      <w:pPr>
        <w:pStyle w:val="FootnoteText"/>
        <w:spacing w:before="0" w:after="120"/>
        <w:ind w:hanging="187" w:start="187" w:end="0"/>
        <w:rPr/>
      </w:pPr>
      <w:r>
        <w:rPr>
          <w:rStyle w:val="FootnoteCharacters"/>
        </w:rPr>
        <w:footnoteRef/>
      </w:r>
      <w:r>
        <w:rPr/>
        <w:t xml:space="preserve"> </w:t>
      </w:r>
      <w:r>
        <w:rPr/>
        <w:t>We understand that a portion of the KfW Advances, earmarked to cover particular costs, will be made after the Closing Date as such costs become due.  Subject to the caps, the Shareholder's Base Equity Commitment will therefore be needed to cover all Project Costs other than these earmarked costs and Project Costs paid by the Advances on the Closing Date.</w:t>
      </w:r>
    </w:p>
  </w:footnote>
  <w:footnote w:id="5">
    <w:p>
      <w:pPr>
        <w:pStyle w:val="FootnoteText"/>
        <w:spacing w:before="0" w:after="120"/>
        <w:ind w:hanging="187" w:start="187" w:end="0"/>
        <w:rPr/>
      </w:pPr>
      <w:r>
        <w:rPr>
          <w:rStyle w:val="FootnoteCharacters"/>
        </w:rPr>
        <w:footnoteRef/>
      </w:r>
      <w:r>
        <w:rPr/>
        <w:t xml:space="preserve"> </w:t>
      </w:r>
      <w:r>
        <w:rPr/>
        <w:t>This number is based upon the 7/28 spreadsheet.</w:t>
      </w:r>
    </w:p>
  </w:footnote>
  <w:footnote w:id="6">
    <w:p>
      <w:pPr>
        <w:pStyle w:val="FootnoteText"/>
        <w:spacing w:before="0" w:after="120"/>
        <w:ind w:hanging="187" w:start="187" w:end="0"/>
        <w:rPr/>
      </w:pPr>
      <w:r>
        <w:rPr>
          <w:rStyle w:val="FootnoteCharacters"/>
        </w:rPr>
        <w:footnoteRef/>
      </w:r>
      <w:r>
        <w:rPr/>
        <w:t xml:space="preserve"> </w:t>
      </w:r>
      <w:r>
        <w:rPr/>
        <w:t xml:space="preserve">The term "Equity Commitment Percentage" applies to a Shareholder's ownership interest in a Related Company.  </w:t>
      </w:r>
    </w:p>
  </w:footnote>
  <w:footnote w:id="7">
    <w:p>
      <w:pPr>
        <w:pStyle w:val="FootnoteText"/>
        <w:spacing w:before="0" w:after="120"/>
        <w:ind w:hanging="187" w:start="187" w:end="0"/>
        <w:rPr/>
      </w:pPr>
      <w:r>
        <w:rPr>
          <w:rStyle w:val="FootnoteCharacters"/>
        </w:rPr>
        <w:footnoteRef/>
      </w:r>
      <w:r>
        <w:rPr/>
        <w:t xml:space="preserve">  </w:t>
      </w:r>
      <w:r>
        <w:rPr/>
        <w:t>Discuss how amount was determined and what letter this refers to.</w:t>
      </w:r>
    </w:p>
  </w:footnote>
  <w:footnote w:id="8">
    <w:p>
      <w:pPr>
        <w:pStyle w:val="FootnoteText"/>
        <w:spacing w:before="0" w:after="120"/>
        <w:ind w:hanging="187" w:start="187" w:end="0"/>
        <w:rPr/>
      </w:pPr>
      <w:r>
        <w:rPr>
          <w:rStyle w:val="FootnoteCharacters"/>
        </w:rPr>
        <w:footnoteRef/>
      </w:r>
      <w:r>
        <w:rPr/>
        <w:t xml:space="preserve">  </w:t>
      </w:r>
      <w:r>
        <w:rPr/>
        <w:t>Based on 7/28 spreadsheet.</w:t>
      </w:r>
    </w:p>
  </w:footnote>
  <w:footnote w:id="9">
    <w:p>
      <w:pPr>
        <w:pStyle w:val="FootnoteText"/>
        <w:spacing w:before="0" w:after="120"/>
        <w:jc w:val="both"/>
        <w:rPr/>
      </w:pPr>
      <w:r>
        <w:rPr>
          <w:rStyle w:val="FootnoteCharacters"/>
        </w:rPr>
        <w:footnoteRef/>
      </w:r>
      <w:r>
        <w:rPr/>
        <w:t xml:space="preserve"> </w:t>
      </w:r>
      <w:r>
        <w:rPr/>
        <w:t>New term for the CTA, "Construction Contracts" means the EPC Contract, the Bueno Contract and the HDI Contract.</w:t>
      </w:r>
    </w:p>
  </w:footnote>
  <w:footnote w:id="10">
    <w:p>
      <w:pPr>
        <w:pStyle w:val="FootnoteText"/>
        <w:spacing w:before="0" w:after="120"/>
        <w:ind w:hanging="187" w:start="187" w:end="0"/>
        <w:rPr/>
      </w:pPr>
      <w:r>
        <w:rPr>
          <w:rStyle w:val="FootnoteCharacters"/>
        </w:rPr>
        <w:footnoteRef/>
      </w:r>
      <w:r>
        <w:rPr/>
        <w:t xml:space="preserve"> </w:t>
      </w:r>
      <w:r>
        <w:rPr/>
        <w:t>From waiver matrix.</w:t>
      </w:r>
    </w:p>
  </w:footnote>
  <w:footnote w:id="11">
    <w:p>
      <w:pPr>
        <w:pStyle w:val="FootnoteText"/>
        <w:spacing w:before="0" w:after="120"/>
        <w:ind w:hanging="187" w:start="187" w:end="0"/>
        <w:rPr/>
      </w:pPr>
      <w:r>
        <w:rPr>
          <w:rStyle w:val="FootnoteCharacters"/>
        </w:rPr>
        <w:footnoteRef/>
      </w:r>
      <w:r>
        <w:rPr/>
        <w:t xml:space="preserve"> </w:t>
      </w:r>
      <w:r>
        <w:rPr/>
        <w:t>Sponsors, please advise as to ownership after giving effect to the sale of Transredes.</w:t>
      </w:r>
    </w:p>
  </w:footnote>
  <w:footnote w:id="12">
    <w:p>
      <w:pPr>
        <w:pStyle w:val="FootnoteText"/>
        <w:spacing w:before="0" w:after="120"/>
        <w:jc w:val="both"/>
        <w:rPr/>
      </w:pPr>
      <w:r>
        <w:rPr>
          <w:rStyle w:val="FootnoteCharacters"/>
        </w:rPr>
        <w:footnoteRef/>
      </w:r>
      <w:r>
        <w:rPr/>
        <w:t xml:space="preserve"> </w:t>
      </w:r>
      <w:r>
        <w:rPr/>
        <w:tab/>
        <w:t>These percentages should be determined by such Sponsor's overall interest in the Project (determined as if the three Sponsors owned 100% of the entire Project).</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p>
    <w:pPr>
      <w:pStyle w:val="Header"/>
      <w:jc w:val="start"/>
      <w:rPr/>
    </w:pPr>
    <w:r>
      <w:rPr/>
      <w:t xml:space="preserve">Blacklined (DeltaView), NY991050085/62+ compared with </w:t>
      <w:br/>
      <w:t>NY991050085/ 61 at 11/17/2000 8:33:25 PM</w:t>
    </w:r>
  </w:p>
  <w:p>
    <w:pPr>
      <w:pStyle w:val="Header"/>
      <w:spacing w:before="0" w:after="240"/>
      <w:jc w:val="star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1440" w:leader="none"/>
        <w:tab w:val="left" w:pos="-720" w:leader="none"/>
        <w:tab w:val="left" w:pos="4320" w:leader="none"/>
        <w:tab w:val="left" w:pos="4752" w:leader="none"/>
      </w:tabs>
      <w:suppressAutoHyphens w:val="true"/>
      <w:spacing w:before="0" w:after="240"/>
      <w:jc w:val="end"/>
      <w:rPr>
        <w:sz w:val="10"/>
        <w:szCs w:val="10"/>
      </w:rPr>
    </w:pPr>
    <w:r>
      <w:rPr>
        <w:sz w:val="10"/>
        <w:szCs w:val="10"/>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1440" w:leader="none"/>
        <w:tab w:val="left" w:pos="-720" w:leader="none"/>
        <w:tab w:val="left" w:pos="4320" w:leader="none"/>
        <w:tab w:val="left" w:pos="4752" w:leader="none"/>
      </w:tabs>
      <w:suppressAutoHyphens w:val="true"/>
      <w:spacing w:before="0" w:after="240"/>
      <w:jc w:val="end"/>
      <w:rPr>
        <w:sz w:val="10"/>
        <w:szCs w:val="10"/>
      </w:rPr>
    </w:pPr>
    <w:r>
      <w:rPr>
        <w:sz w:val="10"/>
        <w:szCs w:val="10"/>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exact" w:line="200"/>
      <w:rPr/>
    </w:pPr>
    <w:r>
      <w:rPr>
        <w:rStyle w:val="PageNumber"/>
      </w:rPr>
      <w:tab/>
    </w:r>
  </w:p>
  <w:p>
    <w:pPr>
      <w:pStyle w:val="Header"/>
      <w:spacing w:before="0" w:after="240"/>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none"/>
      <w:suff w:val="nothing"/>
      <w:lvlText w:val=""/>
      <w:lvlJc w:val="start"/>
      <w:pPr>
        <w:tabs>
          <w:tab w:val="num" w:pos="0"/>
        </w:tabs>
        <w:ind w:start="0" w:hanging="0"/>
      </w:pPr>
      <w:rPr>
        <w:spacing w:val="0"/>
      </w:rPr>
    </w:lvl>
  </w:abstractNum>
  <w:abstractNum w:abstractNumId="3">
    <w:lvl w:ilvl="0">
      <w:start w:val="1"/>
      <w:numFmt w:val="none"/>
      <w:suff w:val="nothing"/>
      <w:lvlText w:val=""/>
      <w:lvlJc w:val="start"/>
      <w:pPr>
        <w:tabs>
          <w:tab w:val="num" w:pos="0"/>
        </w:tabs>
        <w:ind w:start="0" w:hanging="0"/>
      </w:pPr>
      <w:rPr>
        <w:spacing w:val="0"/>
      </w:rPr>
    </w:lvl>
  </w:abstractNum>
  <w:abstractNum w:abstractNumId="4">
    <w:lvl w:ilvl="0">
      <w:start w:val="1"/>
      <w:numFmt w:val="none"/>
      <w:suff w:val="nothing"/>
      <w:lvlText w:val=""/>
      <w:lvlJc w:val="start"/>
      <w:pPr>
        <w:tabs>
          <w:tab w:val="num" w:pos="0"/>
        </w:tabs>
        <w:ind w:start="0" w:hanging="0"/>
      </w:pPr>
      <w:rPr>
        <w:spacing w:val="0"/>
      </w:rPr>
    </w:lvl>
  </w:abstractNum>
  <w:abstractNum w:abstractNumId="5">
    <w:lvl w:ilvl="0">
      <w:start w:val="1"/>
      <w:numFmt w:val="none"/>
      <w:suff w:val="nothing"/>
      <w:lvlText w:val=""/>
      <w:lvlJc w:val="start"/>
      <w:pPr>
        <w:tabs>
          <w:tab w:val="num" w:pos="0"/>
        </w:tabs>
        <w:ind w:start="0" w:hanging="0"/>
      </w:pPr>
      <w:rPr>
        <w:spacing w:val="0"/>
      </w:rPr>
    </w:lvl>
  </w:abstractNum>
  <w:abstractNum w:abstractNumId="6">
    <w:lvl w:ilvl="0">
      <w:start w:val="1"/>
      <w:numFmt w:val="none"/>
      <w:suff w:val="nothing"/>
      <w:lvlText w:val=""/>
      <w:lvlJc w:val="start"/>
      <w:pPr>
        <w:tabs>
          <w:tab w:val="num" w:pos="0"/>
        </w:tabs>
        <w:ind w:start="0" w:hanging="0"/>
      </w:pPr>
      <w:rPr>
        <w:spacing w:val="0"/>
      </w:rPr>
    </w:lvl>
  </w:abstractNum>
  <w:abstractNum w:abstractNumId="7">
    <w:lvl w:ilvl="0">
      <w:start w:val="1"/>
      <w:numFmt w:val="decimal"/>
      <w:lvlText w:val="Section %1."/>
      <w:lvlJc w:val="start"/>
      <w:pPr>
        <w:tabs>
          <w:tab w:val="num" w:pos="2880"/>
        </w:tabs>
        <w:ind w:start="0" w:firstLine="1440"/>
      </w:pPr>
      <w:rPr>
        <w:smallCaps w:val="false"/>
        <w:caps w:val="false"/>
        <w:outline w:val="false"/>
        <w:dstrike w:val="false"/>
        <w:strike w:val="false"/>
        <w:vertAlign w:val="baseline"/>
        <w:position w:val="0"/>
        <w:sz w:val="24"/>
        <w:sz w:val="24"/>
        <w:spacing w:val="0"/>
        <w:i w:val="false"/>
        <w:shadow w:val="false"/>
        <w:u w:val="none"/>
        <w:b w:val="false"/>
        <w:szCs w:val="24"/>
        <w:vanish w:val="false"/>
        <w:rFonts w:ascii="Times New Roman" w:hAnsi="Times New Roman" w:cs="Times New Roman"/>
        <w:color w:val="000000"/>
      </w:rPr>
    </w:lvl>
    <w:lvl w:ilvl="1">
      <w:start w:val="1"/>
      <w:numFmt w:val="decimalZero"/>
      <w:lvlText w:val="%1.%2"/>
      <w:lvlJc w:val="start"/>
      <w:pPr>
        <w:tabs>
          <w:tab w:val="num" w:pos="2160"/>
        </w:tabs>
        <w:ind w:start="0" w:firstLine="1440"/>
      </w:pPr>
      <w:rPr>
        <w:smallCaps w:val="false"/>
        <w:caps w:val="false"/>
        <w:outline w:val="false"/>
        <w:dstrike w:val="false"/>
        <w:strike w:val="false"/>
        <w:vertAlign w:val="baseline"/>
        <w:position w:val="0"/>
        <w:sz w:val="24"/>
        <w:sz w:val="24"/>
        <w:spacing w:val="0"/>
        <w:i w:val="false"/>
        <w:shadow w:val="false"/>
        <w:u w:val="none"/>
        <w:b w:val="false"/>
        <w:szCs w:val="24"/>
        <w:vanish w:val="false"/>
        <w:rFonts w:ascii="Times New Roman" w:hAnsi="Times New Roman" w:cs="Times New Roman"/>
        <w:color w:val="000000"/>
      </w:rPr>
    </w:lvl>
    <w:lvl w:ilvl="2">
      <w:start w:val="1"/>
      <w:numFmt w:val="lowerLetter"/>
      <w:lvlText w:val="(%3)"/>
      <w:lvlJc w:val="start"/>
      <w:pPr>
        <w:tabs>
          <w:tab w:val="num" w:pos="1800"/>
        </w:tabs>
        <w:ind w:start="720" w:firstLine="720"/>
      </w:pPr>
      <w:rPr>
        <w:smallCaps w:val="false"/>
        <w:caps w:val="false"/>
        <w:dstrike w:val="false"/>
        <w:strike w:val="false"/>
        <w:vertAlign w:val="baseline"/>
        <w:position w:val="0"/>
        <w:sz w:val="24"/>
        <w:sz w:val="24"/>
        <w:spacing w:val="0"/>
        <w:i w:val="false"/>
        <w:shadow w:val="false"/>
        <w:u w:val="none"/>
        <w:b w:val="false"/>
        <w:szCs w:val="24"/>
        <w:vanish w:val="false"/>
        <w:rFonts w:ascii="Times New Roman" w:hAnsi="Times New Roman" w:cs="Times New Roman"/>
        <w:color w:val="000000"/>
      </w:rPr>
    </w:lvl>
    <w:lvl w:ilvl="3">
      <w:start w:val="1"/>
      <w:numFmt w:val="decimal"/>
      <w:lvlText w:val="(%4)"/>
      <w:lvlJc w:val="start"/>
      <w:pPr>
        <w:tabs>
          <w:tab w:val="num" w:pos="1800"/>
        </w:tabs>
        <w:ind w:start="720" w:firstLine="720"/>
      </w:pPr>
      <w:rPr>
        <w:smallCaps w:val="false"/>
        <w:caps w:val="false"/>
        <w:dstrike w:val="false"/>
        <w:strike w:val="false"/>
        <w:vertAlign w:val="baseline"/>
        <w:position w:val="0"/>
        <w:sz w:val="24"/>
        <w:sz w:val="24"/>
        <w:spacing w:val="0"/>
        <w:i w:val="false"/>
        <w:shadow w:val="false"/>
        <w:u w:val="none"/>
        <w:b w:val="false"/>
        <w:szCs w:val="24"/>
        <w:vanish w:val="false"/>
        <w:rFonts w:ascii="Times New Roman" w:hAnsi="Times New Roman" w:cs="Times New Roman"/>
        <w:color w:val="000000"/>
      </w:rPr>
    </w:lvl>
    <w:lvl w:ilvl="4">
      <w:start w:val="1"/>
      <w:numFmt w:val="upperLetter"/>
      <w:lvlText w:val="(%5)"/>
      <w:lvlJc w:val="start"/>
      <w:pPr>
        <w:tabs>
          <w:tab w:val="num" w:pos="4320"/>
        </w:tabs>
        <w:ind w:start="2880" w:firstLine="720"/>
      </w:pPr>
      <w:rPr>
        <w:smallCaps w:val="false"/>
        <w:caps w:val="false"/>
        <w:outline w:val="false"/>
        <w:dstrike w:val="false"/>
        <w:strike w:val="false"/>
        <w:vertAlign w:val="baseline"/>
        <w:position w:val="0"/>
        <w:sz w:val="24"/>
        <w:sz w:val="24"/>
        <w:spacing w:val="0"/>
        <w:i w:val="false"/>
        <w:shadow w:val="false"/>
        <w:u w:val="none"/>
        <w:b w:val="false"/>
        <w:szCs w:val="24"/>
        <w:vanish w:val="false"/>
        <w:rFonts w:ascii="Times New Roman" w:hAnsi="Times New Roman" w:cs="Times New Roman"/>
        <w:color w:val="000000"/>
      </w:rPr>
    </w:lvl>
    <w:lvl w:ilvl="5">
      <w:start w:val="1"/>
      <w:numFmt w:val="none"/>
      <w:suff w:val="nothing"/>
      <w:lvlText w:val=""/>
      <w:lvlJc w:val="start"/>
      <w:pPr>
        <w:tabs>
          <w:tab w:val="num" w:pos="2736"/>
        </w:tabs>
        <w:ind w:start="2736" w:hanging="936"/>
      </w:pPr>
      <w:rPr>
        <w:spacing w:val="0"/>
      </w:rPr>
    </w:lvl>
    <w:lvl w:ilvl="6">
      <w:start w:val="1"/>
      <w:numFmt w:val="none"/>
      <w:suff w:val="nothing"/>
      <w:lvlText w:val=""/>
      <w:lvlJc w:val="start"/>
      <w:pPr>
        <w:tabs>
          <w:tab w:val="num" w:pos="3240"/>
        </w:tabs>
        <w:ind w:start="3240" w:hanging="1080"/>
      </w:pPr>
      <w:rPr>
        <w:spacing w:val="0"/>
      </w:rPr>
    </w:lvl>
    <w:lvl w:ilvl="7">
      <w:start w:val="1"/>
      <w:numFmt w:val="none"/>
      <w:suff w:val="nothing"/>
      <w:lvlText w:val=""/>
      <w:lvlJc w:val="start"/>
      <w:pPr>
        <w:tabs>
          <w:tab w:val="num" w:pos="3744"/>
        </w:tabs>
        <w:ind w:start="3744" w:hanging="1224"/>
      </w:pPr>
      <w:rPr>
        <w:spacing w:val="0"/>
      </w:rPr>
    </w:lvl>
    <w:lvl w:ilvl="8">
      <w:start w:val="1"/>
      <w:numFmt w:val="none"/>
      <w:suff w:val="nothing"/>
      <w:lvlText w:val=""/>
      <w:lvlJc w:val="start"/>
      <w:pPr>
        <w:tabs>
          <w:tab w:val="num" w:pos="4320"/>
        </w:tabs>
        <w:ind w:start="4320" w:hanging="1440"/>
      </w:pPr>
      <w:rPr>
        <w:spacing w:val="0"/>
      </w:rPr>
    </w:lvl>
  </w:abstractNum>
  <w:abstractNum w:abstractNumId="8">
    <w:lvl w:ilvl="0">
      <w:start w:val="1"/>
      <w:numFmt w:val="lowerLetter"/>
      <w:lvlText w:val="%1."/>
      <w:lvlJc w:val="start"/>
      <w:pPr>
        <w:tabs>
          <w:tab w:val="num" w:pos="360"/>
        </w:tabs>
        <w:ind w:start="360" w:hanging="360"/>
      </w:pPr>
    </w:lvl>
  </w:abstractNum>
  <w:abstractNum w:abstractNumId="9">
    <w:lvl w:ilvl="0">
      <w:start w:val="1"/>
      <w:numFmt w:val="lowerRoman"/>
      <w:lvlText w:val="(%1)"/>
      <w:lvlJc w:val="start"/>
      <w:pPr>
        <w:tabs>
          <w:tab w:val="num" w:pos="1440"/>
        </w:tabs>
        <w:ind w:start="1440" w:hanging="720"/>
      </w:pPr>
      <w:rPr>
        <w:spacing w:val="0"/>
      </w:rPr>
    </w:lvl>
  </w:abstractNum>
  <w:abstractNum w:abstractNumId="10">
    <w:lvl w:ilvl="0">
      <w:start w:val="2"/>
      <w:numFmt w:val="lowerLetter"/>
      <w:lvlText w:val="(%1)"/>
      <w:lvlJc w:val="start"/>
      <w:pPr>
        <w:tabs>
          <w:tab w:val="num" w:pos="1080"/>
        </w:tabs>
        <w:ind w:start="1080" w:hanging="360"/>
      </w:pPr>
      <w:rPr>
        <w:spacing w:val="0"/>
      </w:rPr>
    </w:lvl>
  </w:abstractNum>
  <w:abstractNum w:abstractNumId="11">
    <w:lvl w:ilvl="0">
      <w:start w:val="1"/>
      <w:numFmt w:val="upperLetter"/>
      <w:lvlText w:val="%1."/>
      <w:lvlJc w:val="start"/>
      <w:pPr>
        <w:tabs>
          <w:tab w:val="num" w:pos="1710"/>
        </w:tabs>
        <w:ind w:start="1710" w:hanging="360"/>
      </w:pPr>
    </w:lvl>
  </w:abstractNum>
  <w:abstractNum w:abstractNumId="12">
    <w:lvl w:ilvl="0">
      <w:start w:val="1"/>
      <w:numFmt w:val="lowerLetter"/>
      <w:lvlText w:val="%1)"/>
      <w:lvlJc w:val="start"/>
      <w:pPr>
        <w:tabs>
          <w:tab w:val="num" w:pos="360"/>
        </w:tabs>
        <w:ind w:start="360" w:hanging="360"/>
      </w:pPr>
    </w:lvl>
  </w:abstractNum>
  <w:abstractNum w:abstractNumId="13">
    <w:lvl w:ilvl="0">
      <w:start w:val="1"/>
      <w:numFmt w:val="upperRoman"/>
      <w:lvlText w:val="%1."/>
      <w:lvlJc w:val="end"/>
      <w:pPr>
        <w:tabs>
          <w:tab w:val="num" w:pos="1620"/>
        </w:tabs>
        <w:ind w:start="1620" w:hanging="180"/>
      </w:pPr>
    </w:lvl>
  </w:abstractNum>
  <w:abstractNum w:abstractNumId="14">
    <w:lvl w:ilvl="0">
      <w:start w:val="1"/>
      <w:numFmt w:val="decimal"/>
      <w:lvlText w:val="%1."/>
      <w:lvlJc w:val="start"/>
      <w:pPr>
        <w:tabs>
          <w:tab w:val="num" w:pos="720"/>
        </w:tabs>
        <w:ind w:start="720" w:hanging="720"/>
      </w:pPr>
      <w:rPr/>
    </w:lvl>
  </w:abstractNum>
  <w:abstractNum w:abstractNumId="15">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6">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7">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8">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9">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w="http://schemas.openxmlformats.org/wordprocessingml/2006/main">
  <w:zoom w:val="bestFit" w:percent="20"/>
  <w:defaultTabStop w:val="720"/>
  <w:autoHyphenation w:val="true"/>
  <w:hyphenationZone w:val="0"/>
  <w:footnotePr>
    <w:numFmt w:val="decimal"/>
    <w:footnote w:id="0"/>
    <w:footnote w:id="1"/>
  </w:footnotePr>
  <w:compat>
    <w:compatSetting w:name="compatibilityMode" w:uri="http://schemas.microsoft.com/office/word" w:val="11"/>
  </w:compat>
  <w:docVars>
    <w:docVar w:name="DOCX97_1" w:val="2016_4"/>
    <w:docVar w:name="DOCX97_10" w:val="2/17/98 2:38:30 AM"/>
    <w:docVar w:name="DOCX97_11" w:val="24951"/>
    <w:docVar w:name="DOCX97_2" w:val="s:\mtsource\mt030698\bii\mroyko\agrmnt\2016_4"/>
    <w:docVar w:name="DOCX97_20" w:val="DocX97Begin"/>
    <w:docVar w:name="DOCX97_23" w:val="NoTabCodes"/>
    <w:docVar w:name="DOCX97_25" w:val="GoodStyleRemove"/>
    <w:docVar w:name="DOCX97_26" w:val="NoReferences"/>
    <w:docVar w:name="DOCX97_27" w:val="NoTarget"/>
    <w:docVar w:name="DOCX97_28" w:val="GoodOutline"/>
    <w:docVar w:name="DOCX97_3" w:val="SI.PRS"/>
    <w:docVar w:name="DOCX97_31" w:val="NoDelay"/>
    <w:docVar w:name="DOCX97_32" w:val="YesHardCenter"/>
    <w:docVar w:name="DOCX97_33" w:val="NoPTR"/>
    <w:docVar w:name="DOCX97_34" w:val="YesHorizAdv"/>
    <w:docVar w:name="DOCX97_35" w:val="YesVerticalAdv"/>
    <w:docVar w:name="DOCX97_36" w:val="NoNumbers"/>
    <w:docVar w:name="DOCX97_39" w:val="NoTOC"/>
    <w:docVar w:name="DOCX97_4" w:val="n:\mttarget\mt030698\bii\mroyko\agrmnt\2016_4"/>
    <w:docVar w:name="DOCX97_40" w:val="YesBackTabs"/>
    <w:docVar w:name="DOCX97_42" w:val="0Footnotes"/>
    <w:docVar w:name="DOCX97_43" w:val="0Endnotes"/>
    <w:docVar w:name="DOCX97_45" w:val="1"/>
    <w:docVar w:name="DOCX97_46" w:val="1"/>
    <w:docVar w:name="DOCX97_47" w:val="0.75"/>
    <w:docVar w:name="DOCX97_48" w:val="0.75"/>
    <w:docVar w:name="DOCX97_49" w:val="11"/>
    <w:docVar w:name="DOCX97_5" w:val=" 111657"/>
    <w:docVar w:name="DOCX97_50" w:val="CG Times"/>
    <w:docVar w:name="DOCX97_51" w:val="NoDocType"/>
    <w:docVar w:name="DOCX97_52" w:val="Document"/>
    <w:docVar w:name="DOCX97_53" w:val="NoPageBorder"/>
    <w:docVar w:name="DOCX97_54" w:val="YesLeading"/>
    <w:docVar w:name="DOCX97_55" w:val="12"/>
    <w:docVar w:name="DOCX97_56" w:val="Times New Roman"/>
    <w:docVar w:name="DOCX97_57" w:val="12p"/>
    <w:docVar w:name="DOCX97_59" w:val="8.5"/>
    <w:docVar w:name="DOCX97_6" w:val="89,600"/>
    <w:docVar w:name="DOCX97_60" w:val="YesAdvance"/>
    <w:docVar w:name="DOCX97_61" w:val="NoSpacers"/>
    <w:docVar w:name="DOCX97_62" w:val="YesPrivate"/>
    <w:docVar w:name="DOCX97_65" w:val="GoodChars"/>
    <w:docVar w:name="DOCX97_66" w:val="GoodQuotes"/>
    <w:docVar w:name="DOCX97_69" w:val="NoInternational"/>
    <w:docVar w:name="DOCX97_7" w:val="3/6/98 10:23:23 PM"/>
    <w:docVar w:name="DOCX97_8" w:val="3/6/98 10:23:51 PM"/>
    <w:docVar w:name="DOCX97_89" w:val="WordMacrosDone"/>
    <w:docVar w:name="DOCX97_90" w:val="DocX97WPDone"/>
    <w:docVar w:name="DOCX97_91" w:val="Milbank"/>
    <w:docVar w:name="DOCX97_92" w:val="3/6/98"/>
    <w:docVar w:name="DOCX97_93" w:val="10:24:18 PM"/>
    <w:docVar w:name="FF_Blackline" w:val="YES"/>
    <w:docVar w:name="FFCompareDoc1" w:val="NY991050085/62+"/>
    <w:docVar w:name="FFCompareDoc2" w:val="NY991050085/ 61"/>
    <w:docVar w:name="zzmpFixedDOC_ID" w:val="NY3:#7166576v13"/>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before="0" w:after="240"/>
    </w:pPr>
    <w:rPr>
      <w:rFonts w:ascii="Times New Roman" w:hAnsi="Times New Roman" w:eastAsia="SimSun;??" w:cs="Times New Roman"/>
      <w:color w:val="auto"/>
      <w:sz w:val="24"/>
      <w:szCs w:val="24"/>
      <w:lang w:val="en-US" w:eastAsia="zh-CN" w:bidi="ar-SA"/>
    </w:rPr>
  </w:style>
  <w:style w:type="paragraph" w:styleId="Heading1">
    <w:name w:val="heading 1"/>
    <w:basedOn w:val="BodyText"/>
    <w:next w:val="BodyText"/>
    <w:qFormat/>
    <w:pPr>
      <w:keepNext w:val="true"/>
      <w:keepLines/>
      <w:numPr>
        <w:ilvl w:val="0"/>
        <w:numId w:val="1"/>
      </w:numPr>
      <w:jc w:val="start"/>
      <w:outlineLvl w:val="0"/>
    </w:pPr>
    <w:rPr>
      <w:b/>
      <w:caps/>
    </w:rPr>
  </w:style>
  <w:style w:type="paragraph" w:styleId="Heading2">
    <w:name w:val="heading 2"/>
    <w:basedOn w:val="BodyText"/>
    <w:next w:val="BodyText"/>
    <w:qFormat/>
    <w:pPr>
      <w:keepNext w:val="true"/>
      <w:keepLines/>
      <w:numPr>
        <w:ilvl w:val="1"/>
        <w:numId w:val="1"/>
      </w:numPr>
      <w:jc w:val="start"/>
      <w:outlineLvl w:val="1"/>
    </w:pPr>
    <w:rPr>
      <w:b/>
      <w:smallCaps/>
    </w:rPr>
  </w:style>
  <w:style w:type="paragraph" w:styleId="Heading3">
    <w:name w:val="heading 3"/>
    <w:basedOn w:val="BodyText"/>
    <w:next w:val="BodyText"/>
    <w:qFormat/>
    <w:pPr>
      <w:keepNext w:val="true"/>
      <w:keepLines/>
      <w:numPr>
        <w:ilvl w:val="2"/>
        <w:numId w:val="1"/>
      </w:numPr>
      <w:outlineLvl w:val="2"/>
    </w:pPr>
    <w:rPr>
      <w:b/>
    </w:rPr>
  </w:style>
  <w:style w:type="paragraph" w:styleId="Heading4">
    <w:name w:val="heading 4"/>
    <w:basedOn w:val="BodyText"/>
    <w:next w:val="BodyText"/>
    <w:qFormat/>
    <w:pPr>
      <w:keepNext w:val="true"/>
      <w:keepLines/>
      <w:numPr>
        <w:ilvl w:val="3"/>
        <w:numId w:val="1"/>
      </w:numPr>
      <w:jc w:val="start"/>
      <w:outlineLvl w:val="3"/>
    </w:pPr>
    <w:rPr/>
  </w:style>
  <w:style w:type="paragraph" w:styleId="Heading5">
    <w:name w:val="heading 5"/>
    <w:basedOn w:val="BodyText"/>
    <w:next w:val="BodyText"/>
    <w:qFormat/>
    <w:pPr>
      <w:keepNext w:val="true"/>
      <w:keepLines/>
      <w:numPr>
        <w:ilvl w:val="4"/>
        <w:numId w:val="1"/>
      </w:numPr>
      <w:jc w:val="center"/>
      <w:outlineLvl w:val="4"/>
    </w:pPr>
    <w:rPr>
      <w:b/>
      <w:caps/>
    </w:rPr>
  </w:style>
  <w:style w:type="paragraph" w:styleId="Heading6">
    <w:name w:val="heading 6"/>
    <w:basedOn w:val="BodyText"/>
    <w:next w:val="BodyText"/>
    <w:qFormat/>
    <w:pPr>
      <w:keepNext w:val="true"/>
      <w:numPr>
        <w:ilvl w:val="5"/>
        <w:numId w:val="1"/>
      </w:numPr>
      <w:jc w:val="center"/>
      <w:outlineLvl w:val="5"/>
    </w:pPr>
    <w:rPr>
      <w:b/>
    </w:rPr>
  </w:style>
  <w:style w:type="paragraph" w:styleId="Heading7">
    <w:name w:val="heading 7"/>
    <w:basedOn w:val="BodyText"/>
    <w:next w:val="BodyText"/>
    <w:qFormat/>
    <w:pPr>
      <w:keepNext w:val="true"/>
      <w:keepLines/>
      <w:numPr>
        <w:ilvl w:val="6"/>
        <w:numId w:val="1"/>
      </w:numPr>
      <w:outlineLvl w:val="6"/>
    </w:pPr>
    <w:rPr/>
  </w:style>
  <w:style w:type="paragraph" w:styleId="Heading8">
    <w:name w:val="heading 8"/>
    <w:basedOn w:val="BodyText"/>
    <w:next w:val="BodyText"/>
    <w:qFormat/>
    <w:pPr>
      <w:numPr>
        <w:ilvl w:val="7"/>
        <w:numId w:val="1"/>
      </w:numPr>
      <w:jc w:val="start"/>
      <w:outlineLvl w:val="7"/>
    </w:pPr>
    <w:rPr/>
  </w:style>
  <w:style w:type="paragraph" w:styleId="Heading9">
    <w:name w:val="heading 9"/>
    <w:basedOn w:val="BodyText"/>
    <w:next w:val="Normal"/>
    <w:qFormat/>
    <w:pPr>
      <w:numPr>
        <w:ilvl w:val="8"/>
        <w:numId w:val="1"/>
      </w:numPr>
      <w:outlineLvl w:val="8"/>
    </w:pPr>
    <w:rPr>
      <w:rFonts w:cs="Arial"/>
      <w:szCs w:val="22"/>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spacing w:val="0"/>
    </w:rPr>
  </w:style>
  <w:style w:type="character" w:styleId="WW8Num12z0">
    <w:name w:val="WW8Num12z0"/>
    <w:qFormat/>
    <w:rPr>
      <w:spacing w:val="0"/>
    </w:rPr>
  </w:style>
  <w:style w:type="character" w:styleId="WW8Num13z0">
    <w:name w:val="WW8Num13z0"/>
    <w:qFormat/>
    <w:rPr>
      <w:spacing w:val="0"/>
    </w:rPr>
  </w:style>
  <w:style w:type="character" w:styleId="WW8Num14z0">
    <w:name w:val="WW8Num14z0"/>
    <w:qFormat/>
    <w:rPr>
      <w:spacing w:val="0"/>
    </w:rPr>
  </w:style>
  <w:style w:type="character" w:styleId="WW8Num15z0">
    <w:name w:val="WW8Num15z0"/>
    <w:qFormat/>
    <w:rPr>
      <w:rFonts w:ascii="Symbol" w:hAnsi="Symbol" w:cs="Times New Roman"/>
      <w:spacing w:val="0"/>
    </w:rPr>
  </w:style>
  <w:style w:type="character" w:styleId="WW8Num16z0">
    <w:name w:val="WW8Num16z0"/>
    <w:qFormat/>
    <w:rPr>
      <w:rFonts w:ascii="Symbol" w:hAnsi="Symbol" w:cs="Times New Roman"/>
      <w:spacing w:val="0"/>
    </w:rPr>
  </w:style>
  <w:style w:type="character" w:styleId="WW8Num17z0">
    <w:name w:val="WW8Num17z0"/>
    <w:qFormat/>
    <w:rPr>
      <w:rFonts w:ascii="Symbol" w:hAnsi="Symbol" w:cs="Times New Roman"/>
      <w:spacing w:val="0"/>
    </w:rPr>
  </w:style>
  <w:style w:type="character" w:styleId="WW8Num18z0">
    <w:name w:val="WW8Num18z0"/>
    <w:qFormat/>
    <w:rPr>
      <w:rFonts w:ascii="Symbol" w:hAnsi="Symbol" w:cs="Times New Roman"/>
      <w:spacing w:val="0"/>
    </w:rPr>
  </w:style>
  <w:style w:type="character" w:styleId="WW8Num19z0">
    <w:name w:val="WW8Num19z0"/>
    <w:qFormat/>
    <w:rPr>
      <w:spacing w:val="0"/>
    </w:rPr>
  </w:style>
  <w:style w:type="character" w:styleId="WW8Num20z0">
    <w:name w:val="WW8Num20z0"/>
    <w:qFormat/>
    <w:rPr>
      <w:rFonts w:ascii="Symbol" w:hAnsi="Symbol" w:cs="Times New Roman"/>
      <w:spacing w:val="0"/>
    </w:rPr>
  </w:style>
  <w:style w:type="character" w:styleId="WW8Num21z0">
    <w:name w:val="WW8Num21z0"/>
    <w:qFormat/>
    <w:rPr>
      <w:rFonts w:ascii="Times New Roman" w:hAnsi="Times New Roman" w:cs="Times New Roman"/>
      <w:b w:val="false"/>
      <w:i w:val="false"/>
      <w:caps w:val="false"/>
      <w:smallCaps w:val="false"/>
      <w:color w:val="000000"/>
      <w:spacing w:val="0"/>
      <w:u w:val="none"/>
    </w:rPr>
  </w:style>
  <w:style w:type="character" w:styleId="WW8Num22z0">
    <w:name w:val="WW8Num22z0"/>
    <w:qFormat/>
    <w:rPr>
      <w:spacing w:val="0"/>
    </w:rPr>
  </w:style>
  <w:style w:type="character" w:styleId="WW8Num23z0">
    <w:name w:val="WW8Num23z0"/>
    <w:qFormat/>
    <w:rPr>
      <w:spacing w:val="0"/>
    </w:rPr>
  </w:style>
  <w:style w:type="character" w:styleId="WW8Num24z0">
    <w:name w:val="WW8Num24z0"/>
    <w:qFormat/>
    <w:rPr>
      <w:rFonts w:ascii="Times New Roman" w:hAnsi="Times New Roman" w:cs="Times New Roman"/>
      <w:b w:val="false"/>
      <w:i w:val="false"/>
      <w:caps w:val="false"/>
      <w:smallCaps w:val="false"/>
      <w:color w:val="000000"/>
      <w:spacing w:val="0"/>
      <w:u w:val="none"/>
    </w:rPr>
  </w:style>
  <w:style w:type="character" w:styleId="WW8Num25z0">
    <w:name w:val="WW8Num25z0"/>
    <w:qFormat/>
    <w:rPr>
      <w:spacing w:val="0"/>
    </w:rPr>
  </w:style>
  <w:style w:type="character" w:styleId="WW8Num26z0">
    <w:name w:val="WW8Num26z0"/>
    <w:qFormat/>
    <w:rPr>
      <w:spacing w:val="0"/>
    </w:rPr>
  </w:style>
  <w:style w:type="character" w:styleId="WW8Num27z0">
    <w:name w:val="WW8Num27z0"/>
    <w:qFormat/>
    <w:rPr>
      <w:rFonts w:ascii="Bembo" w:hAnsi="Bembo" w:cs="Times New Roman"/>
      <w:spacing w:val="0"/>
      <w:sz w:val="26"/>
      <w:szCs w:val="26"/>
    </w:rPr>
  </w:style>
  <w:style w:type="character" w:styleId="WW8Num27z1">
    <w:name w:val="WW8Num27z1"/>
    <w:qFormat/>
    <w:rPr>
      <w:spacing w:val="0"/>
    </w:rPr>
  </w:style>
  <w:style w:type="character" w:styleId="WW8Num28z0">
    <w:name w:val="WW8Num28z0"/>
    <w:qFormat/>
    <w:rPr>
      <w:spacing w:val="0"/>
    </w:rPr>
  </w:style>
  <w:style w:type="character" w:styleId="WW8Num29z0">
    <w:name w:val="WW8Num29z0"/>
    <w:qFormat/>
    <w:rPr>
      <w:spacing w:val="0"/>
    </w:rPr>
  </w:style>
  <w:style w:type="character" w:styleId="WW8Num30z0">
    <w:name w:val="WW8Num30z0"/>
    <w:qFormat/>
    <w:rPr>
      <w:spacing w:val="0"/>
    </w:rPr>
  </w:style>
  <w:style w:type="character" w:styleId="WW8Num31z0">
    <w:name w:val="WW8Num31z0"/>
    <w:qFormat/>
    <w:rPr>
      <w:rFonts w:ascii="Bembo" w:hAnsi="Bembo" w:cs="Times New Roman"/>
      <w:b w:val="false"/>
      <w:i w:val="false"/>
      <w:spacing w:val="0"/>
      <w:sz w:val="26"/>
      <w:szCs w:val="26"/>
    </w:rPr>
  </w:style>
  <w:style w:type="character" w:styleId="WW8Num32z0">
    <w:name w:val="WW8Num32z0"/>
    <w:qFormat/>
    <w:rPr>
      <w:spacing w:val="0"/>
    </w:rPr>
  </w:style>
  <w:style w:type="character" w:styleId="WW8Num33z0">
    <w:name w:val="WW8Num33z0"/>
    <w:qFormat/>
    <w:rPr>
      <w:spacing w:val="0"/>
    </w:rPr>
  </w:style>
  <w:style w:type="character" w:styleId="WW8Num34z0">
    <w:name w:val="WW8Num34z0"/>
    <w:qFormat/>
    <w:rPr>
      <w:spacing w:val="0"/>
    </w:rPr>
  </w:style>
  <w:style w:type="character" w:styleId="WW8Num35z0">
    <w:name w:val="WW8Num35z0"/>
    <w:qFormat/>
    <w:rPr>
      <w:spacing w:val="0"/>
    </w:rPr>
  </w:style>
  <w:style w:type="character" w:styleId="WW8Num36z0">
    <w:name w:val="WW8Num36z0"/>
    <w:qFormat/>
    <w:rPr>
      <w:spacing w:val="0"/>
    </w:rPr>
  </w:style>
  <w:style w:type="character" w:styleId="WW8Num37z0">
    <w:name w:val="WW8Num37z0"/>
    <w:qFormat/>
    <w:rPr>
      <w:spacing w:val="0"/>
    </w:rPr>
  </w:style>
  <w:style w:type="character" w:styleId="WW8Num38z0">
    <w:name w:val="WW8Num38z0"/>
    <w:qFormat/>
    <w:rPr>
      <w:spacing w:val="0"/>
    </w:rPr>
  </w:style>
  <w:style w:type="character" w:styleId="WW8Num39z0">
    <w:name w:val="WW8Num39z0"/>
    <w:qFormat/>
    <w:rPr>
      <w:spacing w:val="0"/>
    </w:rPr>
  </w:style>
  <w:style w:type="character" w:styleId="WW8Num40z0">
    <w:name w:val="WW8Num40z0"/>
    <w:qFormat/>
    <w:rPr>
      <w:spacing w:val="0"/>
    </w:rPr>
  </w:style>
  <w:style w:type="character" w:styleId="WW8Num41z0">
    <w:name w:val="WW8Num41z0"/>
    <w:qFormat/>
    <w:rPr>
      <w:rFonts w:ascii="Bembo" w:hAnsi="Bembo" w:cs="Times New Roman"/>
      <w:spacing w:val="0"/>
      <w:sz w:val="26"/>
      <w:szCs w:val="26"/>
    </w:rPr>
  </w:style>
  <w:style w:type="character" w:styleId="WW8Num41z1">
    <w:name w:val="WW8Num41z1"/>
    <w:qFormat/>
    <w:rPr>
      <w:spacing w:val="0"/>
    </w:rPr>
  </w:style>
  <w:style w:type="character" w:styleId="WW8Num42z0">
    <w:name w:val="WW8Num42z0"/>
    <w:qFormat/>
    <w:rPr>
      <w:rFonts w:ascii="Times New Roman" w:hAnsi="Times New Roman" w:cs="Times New Roman"/>
      <w:b w:val="false"/>
      <w:i w:val="false"/>
      <w:caps w:val="false"/>
      <w:smallCaps w:val="false"/>
      <w:color w:val="000000"/>
      <w:spacing w:val="0"/>
      <w:u w:val="none"/>
    </w:rPr>
  </w:style>
  <w:style w:type="character" w:styleId="WW8Num43z0">
    <w:name w:val="WW8Num43z0"/>
    <w:qFormat/>
    <w:rPr>
      <w:spacing w:val="0"/>
    </w:rPr>
  </w:style>
  <w:style w:type="character" w:styleId="WW8Num44z0">
    <w:name w:val="WW8Num44z0"/>
    <w:qFormat/>
    <w:rPr>
      <w:rFonts w:ascii="Symbol" w:hAnsi="Symbol" w:cs="Times New Roman"/>
      <w:b w:val="false"/>
      <w:i w:val="false"/>
      <w:caps w:val="false"/>
      <w:smallCaps w:val="false"/>
      <w:color w:val="000000"/>
      <w:spacing w:val="0"/>
      <w:sz w:val="28"/>
      <w:szCs w:val="28"/>
      <w:u w:val="none"/>
    </w:rPr>
  </w:style>
  <w:style w:type="character" w:styleId="WW8Num44z1">
    <w:name w:val="WW8Num44z1"/>
    <w:qFormat/>
    <w:rPr>
      <w:rFonts w:ascii="Marlett" w:hAnsi="Marlett" w:cs="Times New Roman"/>
      <w:b w:val="false"/>
      <w:i w:val="false"/>
      <w:caps w:val="false"/>
      <w:smallCaps w:val="false"/>
      <w:color w:val="000000"/>
      <w:spacing w:val="0"/>
      <w:sz w:val="20"/>
      <w:szCs w:val="20"/>
      <w:u w:val="none"/>
    </w:rPr>
  </w:style>
  <w:style w:type="character" w:styleId="WW8Num44z2">
    <w:name w:val="WW8Num44z2"/>
    <w:qFormat/>
    <w:rPr>
      <w:rFonts w:ascii="Wingdings" w:hAnsi="Wingdings" w:cs="Times New Roman"/>
      <w:b w:val="false"/>
      <w:i w:val="false"/>
      <w:caps w:val="false"/>
      <w:smallCaps w:val="false"/>
      <w:color w:val="000000"/>
      <w:spacing w:val="0"/>
      <w:sz w:val="20"/>
      <w:szCs w:val="20"/>
      <w:u w:val="none"/>
    </w:rPr>
  </w:style>
  <w:style w:type="character" w:styleId="WW8Num44z3">
    <w:name w:val="WW8Num44z3"/>
    <w:qFormat/>
    <w:rPr>
      <w:b w:val="false"/>
      <w:i w:val="false"/>
      <w:caps w:val="false"/>
      <w:smallCaps w:val="false"/>
      <w:color w:val="000000"/>
      <w:spacing w:val="0"/>
      <w:sz w:val="20"/>
      <w:szCs w:val="20"/>
      <w:u w:val="none"/>
    </w:rPr>
  </w:style>
  <w:style w:type="character" w:styleId="WW8Num44z4">
    <w:name w:val="WW8Num44z4"/>
    <w:qFormat/>
    <w:rPr>
      <w:b w:val="false"/>
      <w:i w:val="false"/>
      <w:caps w:val="false"/>
      <w:smallCaps w:val="false"/>
      <w:color w:val="000000"/>
      <w:spacing w:val="0"/>
      <w:sz w:val="24"/>
      <w:szCs w:val="24"/>
      <w:u w:val="none"/>
    </w:rPr>
  </w:style>
  <w:style w:type="character" w:styleId="WW8Num44z5">
    <w:name w:val="WW8Num44z5"/>
    <w:qFormat/>
    <w:rPr>
      <w:rFonts w:ascii="Times New Roman" w:hAnsi="Times New Roman" w:cs="Times New Roman"/>
      <w:b w:val="false"/>
      <w:i w:val="false"/>
      <w:caps w:val="false"/>
      <w:smallCaps w:val="false"/>
      <w:color w:val="000000"/>
      <w:spacing w:val="0"/>
      <w:u w:val="none"/>
    </w:rPr>
  </w:style>
  <w:style w:type="character" w:styleId="WW8Num45z0">
    <w:name w:val="WW8Num45z0"/>
    <w:qFormat/>
    <w:rPr>
      <w:rFonts w:ascii="Times New Roman" w:hAnsi="Times New Roman" w:cs="Times New Roman"/>
      <w:b w:val="false"/>
      <w:i w:val="false"/>
      <w:caps w:val="false"/>
      <w:smallCaps w:val="false"/>
      <w:strike w:val="false"/>
      <w:dstrike w:val="false"/>
      <w:outline w:val="false"/>
      <w:shadow w:val="false"/>
      <w:vanish w:val="false"/>
      <w:color w:val="000000"/>
      <w:spacing w:val="0"/>
      <w:position w:val="0"/>
      <w:sz w:val="24"/>
      <w:sz w:val="24"/>
      <w:szCs w:val="24"/>
      <w:u w:val="none"/>
      <w:vertAlign w:val="baseline"/>
    </w:rPr>
  </w:style>
  <w:style w:type="character" w:styleId="WW8Num45z2">
    <w:name w:val="WW8Num45z2"/>
    <w:qFormat/>
    <w:rPr>
      <w:rFonts w:ascii="Times New Roman" w:hAnsi="Times New Roman" w:cs="Times New Roman"/>
      <w:b w:val="false"/>
      <w:i w:val="false"/>
      <w:caps w:val="false"/>
      <w:smallCaps w:val="false"/>
      <w:strike w:val="false"/>
      <w:dstrike w:val="false"/>
      <w:shadow w:val="false"/>
      <w:vanish w:val="false"/>
      <w:color w:val="000000"/>
      <w:spacing w:val="0"/>
      <w:position w:val="0"/>
      <w:sz w:val="24"/>
      <w:sz w:val="24"/>
      <w:szCs w:val="24"/>
      <w:u w:val="none"/>
      <w:vertAlign w:val="baseline"/>
    </w:rPr>
  </w:style>
  <w:style w:type="character" w:styleId="WW8Num45z5">
    <w:name w:val="WW8Num45z5"/>
    <w:qFormat/>
    <w:rPr>
      <w:spacing w:val="0"/>
    </w:rPr>
  </w:style>
  <w:style w:type="character" w:styleId="WW8Num46z0">
    <w:name w:val="WW8Num46z0"/>
    <w:qFormat/>
    <w:rPr>
      <w:spacing w:val="0"/>
      <w:u w:val="none"/>
    </w:rPr>
  </w:style>
  <w:style w:type="character" w:styleId="WW8Num47z0">
    <w:name w:val="WW8Num47z0"/>
    <w:qFormat/>
    <w:rPr>
      <w:spacing w:val="0"/>
    </w:rPr>
  </w:style>
  <w:style w:type="character" w:styleId="WW8Num48z0">
    <w:name w:val="WW8Num48z0"/>
    <w:qFormat/>
    <w:rPr>
      <w:spacing w:val="0"/>
    </w:rPr>
  </w:style>
  <w:style w:type="character" w:styleId="WW8Num49z0">
    <w:name w:val="WW8Num49z0"/>
    <w:qFormat/>
    <w:rPr>
      <w:spacing w:val="0"/>
    </w:rPr>
  </w:style>
  <w:style w:type="character" w:styleId="WW8Num50z0">
    <w:name w:val="WW8Num50z0"/>
    <w:qFormat/>
    <w:rPr>
      <w:rFonts w:ascii="Symbol" w:hAnsi="Symbol" w:cs="Times New Roman"/>
      <w:spacing w:val="0"/>
    </w:rPr>
  </w:style>
  <w:style w:type="character" w:styleId="WW8Num50z1">
    <w:name w:val="WW8Num50z1"/>
    <w:qFormat/>
    <w:rPr>
      <w:rFonts w:ascii="Courier New" w:hAnsi="Courier New" w:cs="Courier New"/>
      <w:spacing w:val="0"/>
    </w:rPr>
  </w:style>
  <w:style w:type="character" w:styleId="WW8Num50z2">
    <w:name w:val="WW8Num50z2"/>
    <w:qFormat/>
    <w:rPr>
      <w:rFonts w:ascii="Wingdings" w:hAnsi="Wingdings" w:cs="Times New Roman"/>
      <w:spacing w:val="0"/>
    </w:rPr>
  </w:style>
  <w:style w:type="character" w:styleId="WW8Num51z0">
    <w:name w:val="WW8Num51z0"/>
    <w:qFormat/>
    <w:rPr>
      <w:spacing w:val="0"/>
    </w:rPr>
  </w:style>
  <w:style w:type="character" w:styleId="WW8Num52z0">
    <w:name w:val="WW8Num52z0"/>
    <w:qFormat/>
    <w:rPr>
      <w:rFonts w:ascii="Times New Roman" w:hAnsi="Times New Roman" w:cs="Times New Roman"/>
      <w:b/>
      <w:i w:val="false"/>
      <w:caps/>
      <w:color w:val="000000"/>
      <w:spacing w:val="0"/>
      <w:u w:val="none"/>
    </w:rPr>
  </w:style>
  <w:style w:type="character" w:styleId="WW8Num52z1">
    <w:name w:val="WW8Num52z1"/>
    <w:qFormat/>
    <w:rPr>
      <w:rFonts w:ascii="Times New Roman" w:hAnsi="Times New Roman" w:cs="Times New Roman"/>
      <w:b/>
      <w:i w:val="false"/>
      <w:caps w:val="false"/>
      <w:smallCaps w:val="false"/>
      <w:color w:val="000000"/>
      <w:spacing w:val="0"/>
      <w:u w:val="none"/>
    </w:rPr>
  </w:style>
  <w:style w:type="character" w:styleId="WW8Num52z2">
    <w:name w:val="WW8Num52z2"/>
    <w:qFormat/>
    <w:rPr>
      <w:rFonts w:ascii="Times New Roman" w:hAnsi="Times New Roman" w:cs="Times New Roman"/>
      <w:b w:val="false"/>
      <w:i w:val="false"/>
      <w:caps w:val="false"/>
      <w:smallCaps w:val="false"/>
      <w:color w:val="000000"/>
      <w:spacing w:val="0"/>
      <w:u w:val="none"/>
    </w:rPr>
  </w:style>
  <w:style w:type="character" w:styleId="WW8Num53z0">
    <w:name w:val="WW8Num53z0"/>
    <w:qFormat/>
    <w:rPr>
      <w:spacing w:val="0"/>
    </w:rPr>
  </w:style>
  <w:style w:type="character" w:styleId="WW8Num54z0">
    <w:name w:val="WW8Num54z0"/>
    <w:qFormat/>
    <w:rPr>
      <w:spacing w:val="0"/>
    </w:rPr>
  </w:style>
  <w:style w:type="character" w:styleId="WW8Num55z0">
    <w:name w:val="WW8Num55z0"/>
    <w:qFormat/>
    <w:rPr>
      <w:rFonts w:ascii="Bembo" w:hAnsi="Bembo" w:cs="Times New Roman"/>
      <w:spacing w:val="0"/>
      <w:sz w:val="26"/>
      <w:szCs w:val="26"/>
    </w:rPr>
  </w:style>
  <w:style w:type="character" w:styleId="WW8Num55z1">
    <w:name w:val="WW8Num55z1"/>
    <w:qFormat/>
    <w:rPr>
      <w:spacing w:val="0"/>
    </w:rPr>
  </w:style>
  <w:style w:type="character" w:styleId="WW8Num56z0">
    <w:name w:val="WW8Num56z0"/>
    <w:qFormat/>
    <w:rPr>
      <w:spacing w:val="0"/>
    </w:rPr>
  </w:style>
  <w:style w:type="character" w:styleId="WW8Num57z0">
    <w:name w:val="WW8Num57z0"/>
    <w:qFormat/>
    <w:rPr>
      <w:spacing w:val="0"/>
    </w:rPr>
  </w:style>
  <w:style w:type="character" w:styleId="WW8Num58z0">
    <w:name w:val="WW8Num58z0"/>
    <w:qFormat/>
    <w:rPr>
      <w:spacing w:val="0"/>
    </w:rPr>
  </w:style>
  <w:style w:type="character" w:styleId="WW8Num59z0">
    <w:name w:val="WW8Num59z0"/>
    <w:qFormat/>
    <w:rPr>
      <w:spacing w:val="0"/>
    </w:rPr>
  </w:style>
  <w:style w:type="character" w:styleId="WW8Num60z0">
    <w:name w:val="WW8Num60z0"/>
    <w:qFormat/>
    <w:rPr>
      <w:rFonts w:ascii="Times New Roman" w:hAnsi="Times New Roman" w:cs="Times New Roman"/>
      <w:b w:val="false"/>
      <w:i w:val="false"/>
      <w:caps w:val="false"/>
      <w:smallCaps w:val="false"/>
      <w:color w:val="000000"/>
      <w:spacing w:val="0"/>
      <w:u w:val="none"/>
    </w:rPr>
  </w:style>
  <w:style w:type="character" w:styleId="WW8Num61z0">
    <w:name w:val="WW8Num61z0"/>
    <w:qFormat/>
    <w:rPr>
      <w:spacing w:val="0"/>
    </w:rPr>
  </w:style>
  <w:style w:type="character" w:styleId="WW8Num62z0">
    <w:name w:val="WW8Num62z0"/>
    <w:qFormat/>
    <w:rPr>
      <w:spacing w:val="0"/>
    </w:rPr>
  </w:style>
  <w:style w:type="character" w:styleId="WW8Num63z0">
    <w:name w:val="WW8Num63z0"/>
    <w:qFormat/>
    <w:rPr>
      <w:rFonts w:ascii="Symbol" w:hAnsi="Symbol" w:cs="Times New Roman"/>
      <w:spacing w:val="0"/>
    </w:rPr>
  </w:style>
  <w:style w:type="character" w:styleId="WW8Num63z1">
    <w:name w:val="WW8Num63z1"/>
    <w:qFormat/>
    <w:rPr>
      <w:rFonts w:ascii="Courier New" w:hAnsi="Courier New" w:cs="Courier New"/>
      <w:spacing w:val="0"/>
    </w:rPr>
  </w:style>
  <w:style w:type="character" w:styleId="WW8Num63z2">
    <w:name w:val="WW8Num63z2"/>
    <w:qFormat/>
    <w:rPr>
      <w:rFonts w:ascii="Wingdings" w:hAnsi="Wingdings" w:cs="Times New Roman"/>
      <w:spacing w:val="0"/>
    </w:rPr>
  </w:style>
  <w:style w:type="character" w:styleId="WW8Num64z0">
    <w:name w:val="WW8Num64z0"/>
    <w:qFormat/>
    <w:rPr>
      <w:rFonts w:ascii="Times New Roman" w:hAnsi="Times New Roman" w:cs="Times New Roman"/>
      <w:b/>
      <w:i w:val="false"/>
      <w:caps w:val="false"/>
      <w:smallCaps w:val="false"/>
      <w:color w:val="000000"/>
      <w:spacing w:val="0"/>
      <w:u w:val="none"/>
    </w:rPr>
  </w:style>
  <w:style w:type="character" w:styleId="WW8Num64z1">
    <w:name w:val="WW8Num64z1"/>
    <w:qFormat/>
    <w:rPr>
      <w:rFonts w:ascii="Times New Roman" w:hAnsi="Times New Roman" w:cs="Times New Roman"/>
      <w:b w:val="false"/>
      <w:i w:val="false"/>
      <w:caps w:val="false"/>
      <w:smallCaps w:val="false"/>
      <w:color w:val="000000"/>
      <w:spacing w:val="0"/>
      <w:u w:val="none"/>
    </w:rPr>
  </w:style>
  <w:style w:type="character" w:styleId="WW8Num65z0">
    <w:name w:val="WW8Num65z0"/>
    <w:qFormat/>
    <w:rPr>
      <w:spacing w:val="0"/>
    </w:rPr>
  </w:style>
  <w:style w:type="character" w:styleId="WW8Num66z0">
    <w:name w:val="WW8Num66z0"/>
    <w:qFormat/>
    <w:rPr>
      <w:rFonts w:ascii="Bembo" w:hAnsi="Bembo" w:cs="Times New Roman"/>
      <w:b w:val="false"/>
      <w:i w:val="false"/>
      <w:spacing w:val="0"/>
      <w:sz w:val="26"/>
      <w:szCs w:val="26"/>
    </w:rPr>
  </w:style>
  <w:style w:type="character" w:styleId="WW8Num67z0">
    <w:name w:val="WW8Num67z0"/>
    <w:qFormat/>
    <w:rPr>
      <w:spacing w:val="0"/>
    </w:rPr>
  </w:style>
  <w:style w:type="character" w:styleId="WW8Num68z0">
    <w:name w:val="WW8Num68z0"/>
    <w:qFormat/>
    <w:rPr>
      <w:spacing w:val="0"/>
    </w:rPr>
  </w:style>
  <w:style w:type="character" w:styleId="WW8Num69z0">
    <w:name w:val="WW8Num69z0"/>
    <w:qFormat/>
    <w:rPr>
      <w:spacing w:val="0"/>
    </w:rPr>
  </w:style>
  <w:style w:type="character" w:styleId="WW8Num70z0">
    <w:name w:val="WW8Num70z0"/>
    <w:qFormat/>
    <w:rPr>
      <w:spacing w:val="0"/>
    </w:rPr>
  </w:style>
  <w:style w:type="character" w:styleId="WW8Num71z0">
    <w:name w:val="WW8Num71z0"/>
    <w:qFormat/>
    <w:rPr>
      <w:spacing w:val="0"/>
    </w:rPr>
  </w:style>
  <w:style w:type="character" w:styleId="WW8Num72z0">
    <w:name w:val="WW8Num72z0"/>
    <w:qFormat/>
    <w:rPr>
      <w:rFonts w:ascii="Times New Roman" w:hAnsi="Times New Roman" w:cs="Times New Roman"/>
      <w:b w:val="false"/>
      <w:i w:val="false"/>
      <w:caps w:val="false"/>
      <w:smallCaps w:val="false"/>
      <w:color w:val="000000"/>
      <w:u w:val="none"/>
    </w:rPr>
  </w:style>
  <w:style w:type="character" w:styleId="WW8Num75z0">
    <w:name w:val="WW8Num75z0"/>
    <w:qFormat/>
    <w:rPr>
      <w:rFonts w:ascii="Times New Roman" w:hAnsi="Times New Roman" w:cs="Times New Roman"/>
      <w:b w:val="false"/>
      <w:i w:val="false"/>
      <w:caps w:val="false"/>
      <w:smallCaps w:val="false"/>
      <w:color w:val="000000"/>
      <w:u w:val="none"/>
    </w:rPr>
  </w:style>
  <w:style w:type="character" w:styleId="WW8Num78z0">
    <w:name w:val="WW8Num78z0"/>
    <w:qFormat/>
    <w:rPr>
      <w:rFonts w:ascii="Bembo" w:hAnsi="Bembo" w:cs="Bembo"/>
      <w:sz w:val="26"/>
    </w:rPr>
  </w:style>
  <w:style w:type="character" w:styleId="WW8Num80z0">
    <w:name w:val="WW8Num80z0"/>
    <w:qFormat/>
    <w:rPr/>
  </w:style>
  <w:style w:type="character" w:styleId="WW8Num82z0">
    <w:name w:val="WW8Num82z0"/>
    <w:qFormat/>
    <w:rPr>
      <w:spacing w:val="0"/>
    </w:rPr>
  </w:style>
  <w:style w:type="character" w:styleId="WW8Num83z0">
    <w:name w:val="WW8Num83z0"/>
    <w:qFormat/>
    <w:rPr>
      <w:rFonts w:ascii="Bembo" w:hAnsi="Bembo" w:cs="Bembo"/>
      <w:b w:val="false"/>
      <w:i w:val="false"/>
      <w:sz w:val="26"/>
    </w:rPr>
  </w:style>
  <w:style w:type="character" w:styleId="WW8Num86z0">
    <w:name w:val="WW8Num86z0"/>
    <w:qFormat/>
    <w:rPr>
      <w:spacing w:val="0"/>
    </w:rPr>
  </w:style>
  <w:style w:type="character" w:styleId="WW8Num90z0">
    <w:name w:val="WW8Num90z0"/>
    <w:qFormat/>
    <w:rPr/>
  </w:style>
  <w:style w:type="character" w:styleId="WW8Num93z0">
    <w:name w:val="WW8Num93z0"/>
    <w:qFormat/>
    <w:rPr>
      <w:rFonts w:ascii="Bembo" w:hAnsi="Bembo" w:cs="Bembo"/>
      <w:sz w:val="26"/>
    </w:rPr>
  </w:style>
  <w:style w:type="character" w:styleId="WW8Num94z0">
    <w:name w:val="WW8Num94z0"/>
    <w:qFormat/>
    <w:rPr>
      <w:rFonts w:ascii="Times New Roman" w:hAnsi="Times New Roman" w:cs="Times New Roman"/>
      <w:b w:val="false"/>
      <w:i w:val="false"/>
      <w:caps w:val="false"/>
      <w:smallCaps w:val="false"/>
      <w:color w:val="000000"/>
      <w:u w:val="none"/>
    </w:rPr>
  </w:style>
  <w:style w:type="character" w:styleId="WW8Num96z0">
    <w:name w:val="WW8Num96z0"/>
    <w:qFormat/>
    <w:rPr>
      <w:rFonts w:ascii="Symbol" w:hAnsi="Symbol" w:cs="Symbol"/>
      <w:b w:val="false"/>
      <w:i w:val="false"/>
      <w:caps w:val="false"/>
      <w:smallCaps w:val="false"/>
      <w:color w:val="000000"/>
      <w:sz w:val="28"/>
      <w:u w:val="none"/>
    </w:rPr>
  </w:style>
  <w:style w:type="character" w:styleId="WW8Num96z1">
    <w:name w:val="WW8Num96z1"/>
    <w:qFormat/>
    <w:rPr>
      <w:rFonts w:ascii="Marlett" w:hAnsi="Marlett" w:cs="Marlett"/>
      <w:b w:val="false"/>
      <w:i w:val="false"/>
      <w:caps w:val="false"/>
      <w:smallCaps w:val="false"/>
      <w:color w:val="000000"/>
      <w:sz w:val="20"/>
      <w:u w:val="none"/>
    </w:rPr>
  </w:style>
  <w:style w:type="character" w:styleId="WW8Num96z2">
    <w:name w:val="WW8Num96z2"/>
    <w:qFormat/>
    <w:rPr>
      <w:rFonts w:ascii="Wingdings" w:hAnsi="Wingdings" w:cs="Wingdings"/>
      <w:b w:val="false"/>
      <w:i w:val="false"/>
      <w:caps w:val="false"/>
      <w:smallCaps w:val="false"/>
      <w:color w:val="000000"/>
      <w:sz w:val="20"/>
      <w:u w:val="none"/>
    </w:rPr>
  </w:style>
  <w:style w:type="character" w:styleId="WW8Num96z3">
    <w:name w:val="WW8Num96z3"/>
    <w:qFormat/>
    <w:rPr>
      <w:b w:val="false"/>
      <w:i w:val="false"/>
      <w:caps w:val="false"/>
      <w:smallCaps w:val="false"/>
      <w:color w:val="000000"/>
      <w:sz w:val="20"/>
      <w:u w:val="none"/>
    </w:rPr>
  </w:style>
  <w:style w:type="character" w:styleId="WW8Num96z4">
    <w:name w:val="WW8Num96z4"/>
    <w:qFormat/>
    <w:rPr>
      <w:rFonts w:cs="Times New Roman"/>
      <w:b w:val="false"/>
      <w:i w:val="false"/>
      <w:caps w:val="false"/>
      <w:smallCaps w:val="false"/>
      <w:color w:val="000000"/>
      <w:sz w:val="24"/>
      <w:u w:val="none"/>
    </w:rPr>
  </w:style>
  <w:style w:type="character" w:styleId="WW8Num96z5">
    <w:name w:val="WW8Num96z5"/>
    <w:qFormat/>
    <w:rPr>
      <w:rFonts w:ascii="Times New Roman" w:hAnsi="Times New Roman" w:cs="Times New Roman"/>
      <w:b w:val="false"/>
      <w:i w:val="false"/>
      <w:caps w:val="false"/>
      <w:smallCaps w:val="false"/>
      <w:color w:val="000000"/>
      <w:u w:val="none"/>
    </w:rPr>
  </w:style>
  <w:style w:type="character" w:styleId="WW8Num98z1">
    <w:name w:val="WW8Num98z1"/>
    <w:qFormat/>
    <w:rPr/>
  </w:style>
  <w:style w:type="character" w:styleId="WW8Num100z0">
    <w:name w:val="WW8Num100z0"/>
    <w:qFormat/>
    <w:rPr>
      <w:rFonts w:ascii="Symbol" w:hAnsi="Symbol" w:cs="Symbol"/>
    </w:rPr>
  </w:style>
  <w:style w:type="character" w:styleId="WW8Num100z1">
    <w:name w:val="WW8Num100z1"/>
    <w:qFormat/>
    <w:rPr>
      <w:rFonts w:ascii="Courier New" w:hAnsi="Courier New" w:cs="Courier New"/>
    </w:rPr>
  </w:style>
  <w:style w:type="character" w:styleId="WW8Num100z2">
    <w:name w:val="WW8Num100z2"/>
    <w:qFormat/>
    <w:rPr>
      <w:rFonts w:ascii="Wingdings" w:hAnsi="Wingdings" w:cs="Wingdings"/>
    </w:rPr>
  </w:style>
  <w:style w:type="character" w:styleId="WW8Num102z0">
    <w:name w:val="WW8Num102z0"/>
    <w:qFormat/>
    <w:rPr>
      <w:rFonts w:ascii="Times New Roman" w:hAnsi="Times New Roman" w:cs="Times New Roman"/>
      <w:b/>
      <w:i w:val="false"/>
      <w:caps/>
      <w:color w:val="000000"/>
      <w:u w:val="none"/>
    </w:rPr>
  </w:style>
  <w:style w:type="character" w:styleId="WW8Num102z1">
    <w:name w:val="WW8Num102z1"/>
    <w:qFormat/>
    <w:rPr>
      <w:rFonts w:ascii="Times New Roman" w:hAnsi="Times New Roman" w:cs="Times New Roman"/>
      <w:b/>
      <w:i w:val="false"/>
      <w:caps w:val="false"/>
      <w:smallCaps w:val="false"/>
      <w:color w:val="000000"/>
      <w:u w:val="none"/>
    </w:rPr>
  </w:style>
  <w:style w:type="character" w:styleId="WW8Num102z2">
    <w:name w:val="WW8Num102z2"/>
    <w:qFormat/>
    <w:rPr>
      <w:rFonts w:ascii="Times New Roman" w:hAnsi="Times New Roman" w:cs="Times New Roman"/>
      <w:b w:val="false"/>
      <w:i w:val="false"/>
      <w:caps w:val="false"/>
      <w:smallCaps w:val="false"/>
      <w:color w:val="000000"/>
      <w:u w:val="none"/>
    </w:rPr>
  </w:style>
  <w:style w:type="character" w:styleId="WW8Num104z0">
    <w:name w:val="WW8Num104z0"/>
    <w:qFormat/>
    <w:rPr>
      <w:rFonts w:ascii="Bembo" w:hAnsi="Bembo" w:cs="Bembo"/>
      <w:sz w:val="26"/>
    </w:rPr>
  </w:style>
  <w:style w:type="character" w:styleId="WW8Num105z0">
    <w:name w:val="WW8Num105z0"/>
    <w:qFormat/>
    <w:rPr/>
  </w:style>
  <w:style w:type="character" w:styleId="WW8Num106z0">
    <w:name w:val="WW8Num106z0"/>
    <w:qFormat/>
    <w:rPr/>
  </w:style>
  <w:style w:type="character" w:styleId="WW8Num109z0">
    <w:name w:val="WW8Num109z0"/>
    <w:qFormat/>
    <w:rPr>
      <w:rFonts w:ascii="Times New Roman" w:hAnsi="Times New Roman" w:cs="Times New Roman"/>
      <w:b w:val="false"/>
      <w:i w:val="false"/>
      <w:caps w:val="false"/>
      <w:smallCaps w:val="false"/>
      <w:color w:val="000000"/>
      <w:u w:val="none"/>
    </w:rPr>
  </w:style>
  <w:style w:type="character" w:styleId="WW8Num112z0">
    <w:name w:val="WW8Num112z0"/>
    <w:qFormat/>
    <w:rPr>
      <w:rFonts w:ascii="Symbol" w:hAnsi="Symbol" w:cs="Symbol"/>
    </w:rPr>
  </w:style>
  <w:style w:type="character" w:styleId="WW8Num112z1">
    <w:name w:val="WW8Num112z1"/>
    <w:qFormat/>
    <w:rPr>
      <w:rFonts w:ascii="Courier New" w:hAnsi="Courier New" w:cs="Courier New"/>
    </w:rPr>
  </w:style>
  <w:style w:type="character" w:styleId="WW8Num112z2">
    <w:name w:val="WW8Num112z2"/>
    <w:qFormat/>
    <w:rPr>
      <w:rFonts w:ascii="Wingdings" w:hAnsi="Wingdings" w:cs="Wingdings"/>
    </w:rPr>
  </w:style>
  <w:style w:type="character" w:styleId="WW8Num113z0">
    <w:name w:val="WW8Num113z0"/>
    <w:qFormat/>
    <w:rPr>
      <w:rFonts w:ascii="Times New Roman" w:hAnsi="Times New Roman" w:cs="Times New Roman"/>
      <w:b/>
      <w:i w:val="false"/>
      <w:caps w:val="false"/>
      <w:smallCaps w:val="false"/>
      <w:color w:val="000000"/>
      <w:u w:val="none"/>
    </w:rPr>
  </w:style>
  <w:style w:type="character" w:styleId="WW8Num113z1">
    <w:name w:val="WW8Num113z1"/>
    <w:qFormat/>
    <w:rPr>
      <w:rFonts w:ascii="Times New Roman" w:hAnsi="Times New Roman" w:cs="Times New Roman"/>
      <w:b w:val="false"/>
      <w:i w:val="false"/>
      <w:caps w:val="false"/>
      <w:smallCaps w:val="false"/>
      <w:color w:val="000000"/>
      <w:u w:val="none"/>
    </w:rPr>
  </w:style>
  <w:style w:type="character" w:styleId="WW8Num115z0">
    <w:name w:val="WW8Num115z0"/>
    <w:qFormat/>
    <w:rPr>
      <w:rFonts w:ascii="Bembo" w:hAnsi="Bembo" w:cs="Bembo"/>
      <w:b w:val="false"/>
      <w:i w:val="false"/>
      <w:sz w:val="26"/>
    </w:rPr>
  </w:style>
  <w:style w:type="character" w:styleId="WW8Num117z0">
    <w:name w:val="WW8Num117z0"/>
    <w:qFormat/>
    <w:rPr/>
  </w:style>
  <w:style w:type="character" w:styleId="WW8NumSt50z0">
    <w:name w:val="WW8NumSt50z0"/>
    <w:qFormat/>
    <w:rPr>
      <w:spacing w:val="0"/>
    </w:rPr>
  </w:style>
  <w:style w:type="character" w:styleId="WW8NumSt74z0">
    <w:name w:val="WW8NumSt74z0"/>
    <w:qFormat/>
    <w:rPr>
      <w:color w:val="0000FF"/>
      <w:spacing w:val="0"/>
      <w:u w:val="double"/>
    </w:rPr>
  </w:style>
  <w:style w:type="character" w:styleId="WW8NumSt75z0">
    <w:name w:val="WW8NumSt75z0"/>
    <w:qFormat/>
    <w:rPr>
      <w:color w:val="0000FF"/>
      <w:spacing w:val="0"/>
      <w:u w:val="double"/>
    </w:rPr>
  </w:style>
  <w:style w:type="character" w:styleId="DefaultParagraphFont">
    <w:name w:val="Default Paragraph Font"/>
    <w:qFormat/>
    <w:rPr/>
  </w:style>
  <w:style w:type="character" w:styleId="EndnoteCharacters">
    <w:name w:val="Endnote Characters"/>
    <w:basedOn w:val="DefaultParagraphFont"/>
    <w:qFormat/>
    <w:rPr>
      <w:rFonts w:ascii="Times New Roman" w:hAnsi="Times New Roman" w:cs="Times New Roman"/>
      <w:vertAlign w:val="superscript"/>
    </w:rPr>
  </w:style>
  <w:style w:type="character" w:styleId="FootnoteCharacters">
    <w:name w:val="Footnote Characters"/>
    <w:basedOn w:val="DefaultParagraphFont"/>
    <w:qFormat/>
    <w:rPr>
      <w:rFonts w:ascii="Times New Roman" w:hAnsi="Times New Roman" w:cs="Times New Roman"/>
      <w:sz w:val="16"/>
      <w:vertAlign w:val="superscript"/>
    </w:rPr>
  </w:style>
  <w:style w:type="character" w:styleId="EquationCaption">
    <w:name w:val="_Equation Caption"/>
    <w:qFormat/>
    <w:rPr/>
  </w:style>
  <w:style w:type="character" w:styleId="CommentReference">
    <w:name w:val="Comment Reference"/>
    <w:basedOn w:val="DefaultParagraphFont"/>
    <w:qFormat/>
    <w:rPr>
      <w:rFonts w:ascii="Times New Roman" w:hAnsi="Times New Roman" w:cs="Times New Roman"/>
      <w:sz w:val="16"/>
      <w:vertAlign w:val="superscript"/>
    </w:rPr>
  </w:style>
  <w:style w:type="character" w:styleId="Emphasis">
    <w:name w:val="Emphasis"/>
    <w:basedOn w:val="DefaultParagraphFont"/>
    <w:qFormat/>
    <w:rPr>
      <w:rFonts w:ascii="Times New Roman" w:hAnsi="Times New Roman" w:cs="Times New Roman"/>
      <w:b/>
      <w:i/>
      <w:iCs/>
      <w:sz w:val="24"/>
    </w:rPr>
  </w:style>
  <w:style w:type="character" w:styleId="FollowedHyperlink">
    <w:name w:val="FollowedHyperlink"/>
    <w:basedOn w:val="DefaultParagraphFont"/>
    <w:rPr>
      <w:rFonts w:ascii="Times New Roman" w:hAnsi="Times New Roman" w:cs="Times New Roman"/>
      <w:color w:val="800080"/>
      <w:u w:val="single"/>
    </w:rPr>
  </w:style>
  <w:style w:type="character" w:styleId="Hyperlink">
    <w:name w:val="Hyperlink"/>
    <w:basedOn w:val="DefaultParagraphFont"/>
    <w:rPr>
      <w:color w:val="0000FF"/>
      <w:spacing w:val="0"/>
      <w:u w:val="single"/>
    </w:rPr>
  </w:style>
  <w:style w:type="character" w:styleId="LineNumber">
    <w:name w:val="line number"/>
    <w:basedOn w:val="DefaultParagraphFont"/>
    <w:rPr/>
  </w:style>
  <w:style w:type="character" w:styleId="PageNumber">
    <w:name w:val="page number"/>
    <w:basedOn w:val="DefaultParagraphFont"/>
    <w:rPr>
      <w:rFonts w:ascii="Times New Roman" w:hAnsi="Times New Roman" w:cs="Times New Roman"/>
      <w:sz w:val="16"/>
    </w:rPr>
  </w:style>
  <w:style w:type="character" w:styleId="Strong">
    <w:name w:val="Strong"/>
    <w:basedOn w:val="DefaultParagraphFont"/>
    <w:qFormat/>
    <w:rPr>
      <w:b/>
      <w:bCs/>
      <w:spacing w:val="0"/>
    </w:rPr>
  </w:style>
  <w:style w:type="character" w:styleId="zzmpTrailerItem">
    <w:name w:val="zzmpTrailerItem"/>
    <w:basedOn w:val="DefaultParagraphFont"/>
    <w:qFormat/>
    <w:rPr>
      <w:spacing w:val="0"/>
      <w:sz w:val="16"/>
      <w:szCs w:val="16"/>
      <w:effect w:val="blinkBackground"/>
    </w:rPr>
  </w:style>
  <w:style w:type="character" w:styleId="Hypertext">
    <w:name w:val="Hypertext"/>
    <w:qFormat/>
    <w:rPr/>
  </w:style>
  <w:style w:type="character" w:styleId="Section">
    <w:name w:val="Section"/>
    <w:qFormat/>
    <w:rPr>
      <w:i/>
      <w:iCs/>
      <w:spacing w:val="0"/>
    </w:rPr>
  </w:style>
  <w:style w:type="character" w:styleId="DeltaViewInsertion">
    <w:name w:val="DeltaView Insertion"/>
    <w:qFormat/>
    <w:rPr>
      <w:color w:val="0000FF"/>
      <w:spacing w:val="0"/>
      <w:u w:val="double"/>
    </w:rPr>
  </w:style>
  <w:style w:type="character" w:styleId="DeltaViewDeletion">
    <w:name w:val="DeltaView Deletion"/>
    <w:qFormat/>
    <w:rPr>
      <w:strike/>
      <w:color w:val="FF0000"/>
      <w:spacing w:val="0"/>
    </w:rPr>
  </w:style>
  <w:style w:type="character" w:styleId="DeltaViewMoveSource">
    <w:name w:val="DeltaView Move Source"/>
    <w:qFormat/>
    <w:rPr>
      <w:i/>
      <w:iCs/>
      <w:strike/>
      <w:color w:val="666666"/>
      <w:spacing w:val="0"/>
    </w:rPr>
  </w:style>
  <w:style w:type="character" w:styleId="DeltaViewMoveDestination">
    <w:name w:val="DeltaView Move Destination"/>
    <w:qFormat/>
    <w:rPr>
      <w:i/>
      <w:iCs/>
      <w:color w:val="666666"/>
      <w:spacing w:val="0"/>
      <w:u w:val="double"/>
    </w:rPr>
  </w:style>
  <w:style w:type="character" w:styleId="DeltaViewChangeNumber">
    <w:name w:val="DeltaView Change Number"/>
    <w:qFormat/>
    <w:rPr>
      <w:color w:val="000000"/>
      <w:spacing w:val="0"/>
      <w:vertAlign w:val="superscript"/>
    </w:rPr>
  </w:style>
  <w:style w:type="character" w:styleId="DeltaViewDelimiter">
    <w:name w:val="DeltaView Delimiter"/>
    <w:qFormat/>
    <w:rPr>
      <w:spacing w:val="0"/>
    </w:rPr>
  </w:style>
  <w:style w:type="character" w:styleId="DeltaViewFormatChange">
    <w:name w:val="DeltaView Format Change"/>
    <w:qFormat/>
    <w:rPr>
      <w:color w:val="000000"/>
      <w:spacing w:val="0"/>
    </w:rPr>
  </w:style>
  <w:style w:type="character" w:styleId="FootnoteReference">
    <w:name w:val="footnote reference"/>
    <w:rPr>
      <w:vertAlign w:val="superscript"/>
    </w:rPr>
  </w:style>
  <w:style w:type="character" w:styleId="EndnoteReference">
    <w:name w:val="endnote reference"/>
    <w:rPr>
      <w:vertAlign w:val="superscript"/>
    </w:rPr>
  </w:style>
  <w:style w:type="paragraph" w:styleId="Heading">
    <w:name w:val="Heading"/>
    <w:basedOn w:val="Normal"/>
    <w:next w:val="BodyText"/>
    <w:qFormat/>
    <w:pPr>
      <w:spacing w:before="240" w:after="60"/>
      <w:jc w:val="center"/>
      <w:outlineLvl w:val="0"/>
    </w:pPr>
    <w:rPr>
      <w:b/>
      <w:bCs/>
      <w:kern w:val="2"/>
      <w:sz w:val="32"/>
      <w:szCs w:val="32"/>
    </w:rPr>
  </w:style>
  <w:style w:type="paragraph" w:styleId="BodyText">
    <w:name w:val="Body Text"/>
    <w:basedOn w:val="Normal"/>
    <w:pPr>
      <w:jc w:val="both"/>
    </w:pPr>
    <w:rPr/>
  </w:style>
  <w:style w:type="paragraph" w:styleId="List">
    <w:name w:val="List"/>
    <w:basedOn w:val="Normal"/>
    <w:pPr>
      <w:numPr>
        <w:ilvl w:val="0"/>
        <w:numId w:val="8"/>
      </w:numPr>
    </w:pPr>
    <w:rPr/>
  </w:style>
  <w:style w:type="paragraph" w:styleId="Caption">
    <w:name w:val="caption"/>
    <w:basedOn w:val="Normal"/>
    <w:next w:val="BodyText"/>
    <w:qFormat/>
    <w:pPr>
      <w:spacing w:before="120" w:after="120"/>
    </w:pPr>
    <w:rPr>
      <w:b/>
      <w:bCs/>
      <w:sz w:val="16"/>
      <w:szCs w:val="20"/>
    </w:rPr>
  </w:style>
  <w:style w:type="paragraph" w:styleId="Index">
    <w:name w:val="Index"/>
    <w:basedOn w:val="Normal"/>
    <w:qFormat/>
    <w:pPr>
      <w:suppressLineNumbers/>
    </w:pPr>
    <w:rPr>
      <w:rFonts w:cs="NotoSans NF"/>
    </w:rPr>
  </w:style>
  <w:style w:type="paragraph" w:styleId="EndnoteText">
    <w:name w:val="endnote text"/>
    <w:basedOn w:val="Normal"/>
    <w:pPr>
      <w:spacing w:before="0" w:after="120"/>
    </w:pPr>
    <w:rPr>
      <w:sz w:val="16"/>
      <w:szCs w:val="20"/>
    </w:rPr>
  </w:style>
  <w:style w:type="paragraph" w:styleId="FootnoteText">
    <w:name w:val="footnote text"/>
    <w:basedOn w:val="Normal"/>
    <w:pPr>
      <w:spacing w:before="0" w:after="120"/>
      <w:ind w:hanging="187" w:start="187" w:end="0"/>
    </w:pPr>
    <w:rPr>
      <w:sz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BodyText"/>
    <w:pPr>
      <w:tabs>
        <w:tab w:val="clear" w:pos="720"/>
        <w:tab w:val="right" w:pos="8280" w:leader="none"/>
      </w:tabs>
    </w:pPr>
    <w:rPr>
      <w:sz w:val="16"/>
    </w:rPr>
  </w:style>
  <w:style w:type="paragraph" w:styleId="TOC1">
    <w:name w:val="toc 1"/>
    <w:basedOn w:val="Normal"/>
    <w:next w:val="BodyText"/>
    <w:pPr>
      <w:keepNext w:val="true"/>
      <w:tabs>
        <w:tab w:val="clear" w:pos="720"/>
        <w:tab w:val="right" w:pos="8309" w:leader="dot"/>
      </w:tabs>
      <w:spacing w:before="120" w:after="120"/>
    </w:pPr>
    <w:rPr>
      <w:caps/>
    </w:rPr>
  </w:style>
  <w:style w:type="paragraph" w:styleId="TOC2">
    <w:name w:val="toc 2"/>
    <w:basedOn w:val="Normal"/>
    <w:next w:val="BodyText"/>
    <w:pPr>
      <w:numPr>
        <w:ilvl w:val="0"/>
        <w:numId w:val="14"/>
      </w:numPr>
      <w:tabs>
        <w:tab w:val="clear" w:pos="720"/>
        <w:tab w:val="right" w:pos="8309" w:leader="dot"/>
      </w:tabs>
      <w:spacing w:before="120" w:after="120"/>
    </w:pPr>
    <w:rPr>
      <w:smallCaps/>
    </w:rPr>
  </w:style>
  <w:style w:type="paragraph" w:styleId="TOC3">
    <w:name w:val="toc 3"/>
    <w:basedOn w:val="Normal"/>
    <w:next w:val="BodyText"/>
    <w:pPr>
      <w:tabs>
        <w:tab w:val="clear" w:pos="720"/>
        <w:tab w:val="right" w:pos="8309" w:leader="dot"/>
      </w:tabs>
      <w:spacing w:before="0" w:after="0"/>
      <w:ind w:hanging="0" w:start="432" w:end="0"/>
    </w:pPr>
    <w:rPr/>
  </w:style>
  <w:style w:type="paragraph" w:styleId="TOC4">
    <w:name w:val="toc 4"/>
    <w:basedOn w:val="Normal"/>
    <w:next w:val="BodyText"/>
    <w:pPr>
      <w:tabs>
        <w:tab w:val="clear" w:pos="720"/>
        <w:tab w:val="right" w:pos="8309" w:leader="dot"/>
      </w:tabs>
      <w:spacing w:before="0" w:after="0"/>
      <w:ind w:hanging="0" w:start="780" w:end="0"/>
    </w:pPr>
    <w:rPr/>
  </w:style>
  <w:style w:type="paragraph" w:styleId="TOC5">
    <w:name w:val="toc 5"/>
    <w:basedOn w:val="Normal"/>
    <w:pPr>
      <w:tabs>
        <w:tab w:val="clear" w:pos="720"/>
        <w:tab w:val="right" w:pos="8309" w:leader="dot"/>
      </w:tabs>
      <w:spacing w:before="120" w:after="120"/>
    </w:pPr>
    <w:rPr>
      <w:caps/>
    </w:rPr>
  </w:style>
  <w:style w:type="paragraph" w:styleId="TOC6">
    <w:name w:val="toc 6"/>
    <w:basedOn w:val="Normal"/>
    <w:pPr>
      <w:tabs>
        <w:tab w:val="clear" w:pos="720"/>
        <w:tab w:val="right" w:pos="8309" w:leader="dot"/>
      </w:tabs>
      <w:spacing w:before="0" w:after="0"/>
      <w:ind w:hanging="0" w:start="432" w:end="0"/>
    </w:pPr>
    <w:rPr/>
  </w:style>
  <w:style w:type="paragraph" w:styleId="TOC7">
    <w:name w:val="toc 7"/>
    <w:basedOn w:val="Normal"/>
    <w:pPr>
      <w:tabs>
        <w:tab w:val="clear" w:pos="720"/>
        <w:tab w:val="right" w:pos="8309" w:leader="dot"/>
      </w:tabs>
      <w:spacing w:before="0" w:after="0"/>
      <w:ind w:hanging="0" w:start="778" w:end="0"/>
    </w:pPr>
    <w:rPr>
      <w:i/>
    </w:rPr>
  </w:style>
  <w:style w:type="paragraph" w:styleId="TOC8">
    <w:name w:val="toc 8"/>
    <w:basedOn w:val="Normal"/>
    <w:pPr>
      <w:tabs>
        <w:tab w:val="clear" w:pos="720"/>
        <w:tab w:val="right" w:pos="8309" w:leader="dot"/>
      </w:tabs>
      <w:ind w:hanging="0" w:start="1440" w:end="0"/>
    </w:pPr>
    <w:rPr>
      <w:i/>
    </w:rPr>
  </w:style>
  <w:style w:type="paragraph" w:styleId="TOC9">
    <w:name w:val="toc 9"/>
    <w:basedOn w:val="Normal"/>
    <w:next w:val="Normal"/>
    <w:pPr>
      <w:tabs>
        <w:tab w:val="clear" w:pos="720"/>
        <w:tab w:val="right" w:pos="8309" w:leader="dot"/>
      </w:tabs>
      <w:spacing w:before="0" w:after="0"/>
      <w:ind w:hanging="0" w:start="1440" w:end="0"/>
    </w:pPr>
    <w:rPr>
      <w:i/>
    </w:rPr>
  </w:style>
  <w:style w:type="paragraph" w:styleId="Index1">
    <w:name w:val="index 1"/>
    <w:basedOn w:val="Normal"/>
    <w:next w:val="Normal"/>
    <w:pPr/>
    <w:rPr/>
  </w:style>
  <w:style w:type="paragraph" w:styleId="Index2">
    <w:name w:val="index 2"/>
    <w:basedOn w:val="Normal"/>
    <w:next w:val="Normal"/>
    <w:pPr>
      <w:ind w:hanging="240" w:start="480" w:end="0"/>
    </w:pPr>
    <w:rPr/>
  </w:style>
  <w:style w:type="paragraph" w:styleId="TOAHeading">
    <w:name w:val="TOA Heading"/>
    <w:basedOn w:val="Normal"/>
    <w:next w:val="Normal"/>
    <w:qFormat/>
    <w:pPr>
      <w:jc w:val="center"/>
    </w:pPr>
    <w:rPr>
      <w:rFonts w:cs="Arial"/>
      <w:b/>
      <w:bCs/>
    </w:rPr>
  </w:style>
  <w:style w:type="paragraph" w:styleId="Footer">
    <w:name w:val="footer"/>
    <w:basedOn w:val="Normal"/>
    <w:pPr>
      <w:tabs>
        <w:tab w:val="clear" w:pos="720"/>
        <w:tab w:val="right" w:pos="8280" w:leader="none"/>
      </w:tabs>
    </w:pPr>
    <w:rPr>
      <w:sz w:val="16"/>
    </w:rPr>
  </w:style>
  <w:style w:type="paragraph" w:styleId="BlockText">
    <w:name w:val="Block Text"/>
    <w:basedOn w:val="Normal"/>
    <w:qFormat/>
    <w:pPr>
      <w:ind w:hanging="0" w:start="1440" w:end="1440"/>
      <w:jc w:val="both"/>
    </w:pPr>
    <w:rPr/>
  </w:style>
  <w:style w:type="paragraph" w:styleId="BodyTextIndent">
    <w:name w:val="Body Text Indent"/>
    <w:basedOn w:val="Normal"/>
    <w:pPr>
      <w:ind w:hanging="0" w:start="360" w:end="0"/>
      <w:jc w:val="both"/>
    </w:pPr>
    <w:rPr/>
  </w:style>
  <w:style w:type="paragraph" w:styleId="BodyText3">
    <w:name w:val="Body Text 3"/>
    <w:basedOn w:val="Normal"/>
    <w:qFormat/>
    <w:pPr>
      <w:jc w:val="both"/>
    </w:pPr>
    <w:rPr>
      <w:szCs w:val="16"/>
    </w:rPr>
  </w:style>
  <w:style w:type="paragraph" w:styleId="BodyTextFirstIndent">
    <w:name w:val="Body Text First Indent"/>
    <w:basedOn w:val="BodyText"/>
    <w:qFormat/>
    <w:pPr>
      <w:ind w:firstLine="360" w:start="0" w:end="0"/>
    </w:pPr>
    <w:rPr/>
  </w:style>
  <w:style w:type="paragraph" w:styleId="BodyTextFirstIndent2">
    <w:name w:val="Body Text First Indent 2"/>
    <w:basedOn w:val="BodyTextIndent"/>
    <w:qFormat/>
    <w:pPr>
      <w:ind w:firstLine="720" w:start="360" w:end="0"/>
    </w:pPr>
    <w:rPr/>
  </w:style>
  <w:style w:type="paragraph" w:styleId="BodyTextIndent2">
    <w:name w:val="Body Text Indent 2"/>
    <w:basedOn w:val="Normal"/>
    <w:qFormat/>
    <w:pPr>
      <w:ind w:hanging="0" w:start="720" w:end="0"/>
      <w:jc w:val="both"/>
    </w:pPr>
    <w:rPr/>
  </w:style>
  <w:style w:type="paragraph" w:styleId="BodyTextIndent3">
    <w:name w:val="Body Text Indent 3"/>
    <w:basedOn w:val="Normal"/>
    <w:qFormat/>
    <w:pPr>
      <w:ind w:hanging="0" w:start="1080" w:end="0"/>
      <w:jc w:val="both"/>
    </w:pPr>
    <w:rPr>
      <w:szCs w:val="16"/>
    </w:rPr>
  </w:style>
  <w:style w:type="paragraph" w:styleId="Closing">
    <w:name w:val="Closing"/>
    <w:basedOn w:val="Normal"/>
    <w:qFormat/>
    <w:pPr>
      <w:ind w:hanging="0" w:start="4320" w:end="0"/>
    </w:pPr>
    <w:rPr/>
  </w:style>
  <w:style w:type="paragraph" w:styleId="CommentText">
    <w:name w:val="Comment Text"/>
    <w:basedOn w:val="Normal"/>
    <w:qFormat/>
    <w:pPr>
      <w:ind w:firstLine="360" w:start="360" w:end="0"/>
    </w:pPr>
    <w:rPr>
      <w:sz w:val="16"/>
    </w:rPr>
  </w:style>
  <w:style w:type="paragraph" w:styleId="Date">
    <w:name w:val="Date"/>
    <w:basedOn w:val="Normal"/>
    <w:qFormat/>
    <w:pPr>
      <w:jc w:val="end"/>
    </w:pPr>
    <w:rPr/>
  </w:style>
  <w:style w:type="paragraph" w:styleId="DocumentMap">
    <w:name w:val="Document Map"/>
    <w:basedOn w:val="Normal"/>
    <w:qFormat/>
    <w:pPr>
      <w:shd w:fill="000080" w:val="clear"/>
    </w:pPr>
    <w:rPr/>
  </w:style>
  <w:style w:type="paragraph" w:styleId="EnvelopeAddress">
    <w:name w:val="envelope address"/>
    <w:basedOn w:val="Normal"/>
    <w:pPr>
      <w:spacing w:before="0" w:after="0"/>
    </w:pPr>
    <w:rPr>
      <w:rFonts w:cs="Arial"/>
    </w:rPr>
  </w:style>
  <w:style w:type="paragraph" w:styleId="EnvelopeReturn">
    <w:name w:val="envelope return"/>
    <w:basedOn w:val="Normal"/>
    <w:pPr/>
    <w:rPr>
      <w:rFonts w:cs="Arial"/>
      <w:szCs w:val="20"/>
    </w:rPr>
  </w:style>
  <w:style w:type="paragraph" w:styleId="Index3">
    <w:name w:val="index 3"/>
    <w:basedOn w:val="BodyText"/>
    <w:next w:val="Normal"/>
    <w:pPr>
      <w:ind w:hanging="240" w:start="720" w:end="0"/>
    </w:pPr>
    <w:rPr/>
  </w:style>
  <w:style w:type="paragraph" w:styleId="Index4">
    <w:name w:val="Index 4"/>
    <w:basedOn w:val="Normal"/>
    <w:next w:val="Normal"/>
    <w:qFormat/>
    <w:pPr>
      <w:ind w:hanging="240" w:start="960" w:end="0"/>
    </w:pPr>
    <w:rPr/>
  </w:style>
  <w:style w:type="paragraph" w:styleId="Index5">
    <w:name w:val="Index 5"/>
    <w:basedOn w:val="Normal"/>
    <w:next w:val="Normal"/>
    <w:qFormat/>
    <w:pPr>
      <w:ind w:hanging="240" w:start="1200" w:end="0"/>
    </w:pPr>
    <w:rPr/>
  </w:style>
  <w:style w:type="paragraph" w:styleId="Index6">
    <w:name w:val="Index 6"/>
    <w:basedOn w:val="Normal"/>
    <w:next w:val="Normal"/>
    <w:qFormat/>
    <w:pPr>
      <w:ind w:hanging="240" w:start="1440" w:end="0"/>
    </w:pPr>
    <w:rPr/>
  </w:style>
  <w:style w:type="paragraph" w:styleId="Index7">
    <w:name w:val="Index 7"/>
    <w:basedOn w:val="Normal"/>
    <w:next w:val="Normal"/>
    <w:qFormat/>
    <w:pPr>
      <w:ind w:hanging="240" w:start="1680" w:end="0"/>
    </w:pPr>
    <w:rPr/>
  </w:style>
  <w:style w:type="paragraph" w:styleId="Index8">
    <w:name w:val="Index 8"/>
    <w:basedOn w:val="Normal"/>
    <w:next w:val="Normal"/>
    <w:qFormat/>
    <w:pPr>
      <w:ind w:hanging="240" w:start="1920" w:end="0"/>
    </w:pPr>
    <w:rPr/>
  </w:style>
  <w:style w:type="paragraph" w:styleId="Index9">
    <w:name w:val="Index 9"/>
    <w:basedOn w:val="Normal"/>
    <w:next w:val="Normal"/>
    <w:qFormat/>
    <w:pPr>
      <w:ind w:hanging="240" w:start="2160" w:end="0"/>
    </w:pPr>
    <w:rPr/>
  </w:style>
  <w:style w:type="paragraph" w:styleId="IndexHeading">
    <w:name w:val="index heading"/>
    <w:basedOn w:val="Normal"/>
    <w:next w:val="Index1"/>
    <w:pPr>
      <w:spacing w:before="0" w:after="480"/>
      <w:jc w:val="center"/>
    </w:pPr>
    <w:rPr>
      <w:b/>
      <w:caps/>
    </w:rPr>
  </w:style>
  <w:style w:type="paragraph" w:styleId="ListBullet2">
    <w:name w:val="List Bullet 2"/>
    <w:basedOn w:val="Normal"/>
    <w:pPr>
      <w:numPr>
        <w:ilvl w:val="0"/>
        <w:numId w:val="12"/>
      </w:numPr>
    </w:pPr>
    <w:rPr/>
  </w:style>
  <w:style w:type="paragraph" w:styleId="ListBullet3">
    <w:name w:val="List Bullet 3"/>
    <w:basedOn w:val="Normal"/>
    <w:pPr>
      <w:numPr>
        <w:ilvl w:val="0"/>
        <w:numId w:val="11"/>
      </w:numPr>
    </w:pPr>
    <w:rPr/>
  </w:style>
  <w:style w:type="paragraph" w:styleId="ListBullet4">
    <w:name w:val="List Bullet 4"/>
    <w:basedOn w:val="Normal"/>
    <w:pPr>
      <w:numPr>
        <w:ilvl w:val="0"/>
        <w:numId w:val="13"/>
      </w:numPr>
    </w:pPr>
    <w:rPr/>
  </w:style>
  <w:style w:type="paragraph" w:styleId="ListBullet5">
    <w:name w:val="List Bullet 5"/>
    <w:basedOn w:val="Normal"/>
    <w:pPr>
      <w:ind w:hanging="283" w:start="1415" w:end="0"/>
    </w:pPr>
    <w:rPr/>
  </w:style>
  <w:style w:type="paragraph" w:styleId="ListBullet">
    <w:name w:val="List Bullet"/>
    <w:basedOn w:val="Normal"/>
    <w:qFormat/>
    <w:pPr>
      <w:numPr>
        <w:ilvl w:val="0"/>
        <w:numId w:val="6"/>
      </w:numPr>
    </w:pPr>
    <w:rPr/>
  </w:style>
  <w:style w:type="paragraph" w:styleId="ListBullet21">
    <w:name w:val="List Bullet 21"/>
    <w:basedOn w:val="Normal"/>
    <w:qFormat/>
    <w:pPr>
      <w:numPr>
        <w:ilvl w:val="0"/>
        <w:numId w:val="2"/>
      </w:numPr>
    </w:pPr>
    <w:rPr/>
  </w:style>
  <w:style w:type="paragraph" w:styleId="ListBullet31">
    <w:name w:val="List Bullet 31"/>
    <w:basedOn w:val="Normal"/>
    <w:qFormat/>
    <w:pPr>
      <w:numPr>
        <w:ilvl w:val="0"/>
        <w:numId w:val="5"/>
      </w:numPr>
    </w:pPr>
    <w:rPr/>
  </w:style>
  <w:style w:type="paragraph" w:styleId="ListBullet41">
    <w:name w:val="List Bullet 41"/>
    <w:basedOn w:val="Normal"/>
    <w:qFormat/>
    <w:pPr>
      <w:numPr>
        <w:ilvl w:val="0"/>
        <w:numId w:val="3"/>
      </w:numPr>
    </w:pPr>
    <w:rPr/>
  </w:style>
  <w:style w:type="paragraph" w:styleId="ListBullet51">
    <w:name w:val="List Bullet 51"/>
    <w:basedOn w:val="Normal"/>
    <w:qFormat/>
    <w:pPr>
      <w:numPr>
        <w:ilvl w:val="0"/>
        <w:numId w:val="4"/>
      </w:numPr>
    </w:pPr>
    <w:rPr/>
  </w:style>
  <w:style w:type="paragraph" w:styleId="ListContinue">
    <w:name w:val="List Continue"/>
    <w:basedOn w:val="Normal"/>
    <w:qFormat/>
    <w:pPr>
      <w:spacing w:before="0" w:after="120"/>
      <w:ind w:hanging="0" w:start="360" w:end="0"/>
    </w:pPr>
    <w:rPr/>
  </w:style>
  <w:style w:type="paragraph" w:styleId="ListContinue2">
    <w:name w:val="List Continue 2"/>
    <w:basedOn w:val="Normal"/>
    <w:qFormat/>
    <w:pPr>
      <w:spacing w:before="0" w:after="120"/>
      <w:ind w:hanging="0" w:start="720" w:end="0"/>
    </w:pPr>
    <w:rPr/>
  </w:style>
  <w:style w:type="paragraph" w:styleId="ListContinue3">
    <w:name w:val="List Continue 3"/>
    <w:basedOn w:val="Normal"/>
    <w:qFormat/>
    <w:pPr>
      <w:spacing w:before="0" w:after="120"/>
      <w:ind w:hanging="0" w:start="1080" w:end="0"/>
    </w:pPr>
    <w:rPr/>
  </w:style>
  <w:style w:type="paragraph" w:styleId="ListContinue4">
    <w:name w:val="List Continue 4"/>
    <w:basedOn w:val="Normal"/>
    <w:qFormat/>
    <w:pPr>
      <w:spacing w:before="0" w:after="120"/>
      <w:ind w:hanging="0" w:start="1440" w:end="0"/>
    </w:pPr>
    <w:rPr/>
  </w:style>
  <w:style w:type="paragraph" w:styleId="ListContinue5">
    <w:name w:val="List Continue 5"/>
    <w:basedOn w:val="Normal"/>
    <w:qFormat/>
    <w:pPr>
      <w:spacing w:before="0" w:after="120"/>
      <w:ind w:hanging="0" w:start="1800" w:end="0"/>
    </w:pPr>
    <w:rPr/>
  </w:style>
  <w:style w:type="paragraph" w:styleId="ListNumber">
    <w:name w:val="List Number"/>
    <w:basedOn w:val="Normal"/>
    <w:qFormat/>
    <w:pPr>
      <w:numPr>
        <w:ilvl w:val="0"/>
        <w:numId w:val="15"/>
      </w:numPr>
      <w:tabs>
        <w:tab w:val="clear" w:pos="720"/>
        <w:tab w:val="left" w:pos="360" w:leader="none"/>
      </w:tabs>
      <w:ind w:hanging="360" w:start="360" w:end="0"/>
    </w:pPr>
    <w:rPr/>
  </w:style>
  <w:style w:type="paragraph" w:styleId="ListNumber2">
    <w:name w:val="List Number 2"/>
    <w:basedOn w:val="Normal"/>
    <w:qFormat/>
    <w:pPr>
      <w:numPr>
        <w:ilvl w:val="0"/>
        <w:numId w:val="16"/>
      </w:numPr>
      <w:tabs>
        <w:tab w:val="left" w:pos="720" w:leader="none"/>
      </w:tabs>
      <w:ind w:hanging="360" w:start="720" w:end="0"/>
    </w:pPr>
    <w:rPr/>
  </w:style>
  <w:style w:type="paragraph" w:styleId="ListNumber3">
    <w:name w:val="List Number 3"/>
    <w:basedOn w:val="Normal"/>
    <w:qFormat/>
    <w:pPr>
      <w:numPr>
        <w:ilvl w:val="0"/>
        <w:numId w:val="17"/>
      </w:numPr>
      <w:tabs>
        <w:tab w:val="clear" w:pos="720"/>
        <w:tab w:val="left" w:pos="1080" w:leader="none"/>
      </w:tabs>
      <w:ind w:hanging="360" w:start="1080" w:end="0"/>
    </w:pPr>
    <w:rPr/>
  </w:style>
  <w:style w:type="paragraph" w:styleId="ListNumber4">
    <w:name w:val="List Number 4"/>
    <w:basedOn w:val="Normal"/>
    <w:qFormat/>
    <w:pPr>
      <w:numPr>
        <w:ilvl w:val="0"/>
        <w:numId w:val="18"/>
      </w:numPr>
      <w:tabs>
        <w:tab w:val="clear" w:pos="720"/>
        <w:tab w:val="left" w:pos="1440" w:leader="none"/>
      </w:tabs>
      <w:ind w:hanging="360" w:start="1440" w:end="0"/>
    </w:pPr>
    <w:rPr/>
  </w:style>
  <w:style w:type="paragraph" w:styleId="ListNumber5">
    <w:name w:val="List Number 5"/>
    <w:basedOn w:val="Normal"/>
    <w:qFormat/>
    <w:pPr>
      <w:numPr>
        <w:ilvl w:val="0"/>
        <w:numId w:val="19"/>
      </w:numPr>
      <w:tabs>
        <w:tab w:val="clear" w:pos="720"/>
        <w:tab w:val="left" w:pos="1800" w:leader="none"/>
      </w:tabs>
      <w:ind w:hanging="360" w:start="1800" w:end="0"/>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autoSpaceDE w:val="false"/>
      <w:bidi w:val="0"/>
    </w:pPr>
    <w:rPr>
      <w:rFonts w:ascii="Times New Roman" w:hAnsi="Times New Roman" w:eastAsia="Times New Roman" w:cs="Times New Roman"/>
      <w:color w:val="auto"/>
      <w:sz w:val="20"/>
      <w:szCs w:val="20"/>
      <w:lang w:val="en-US" w:bidi="ar-SA" w:eastAsia="zh-CN"/>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style>
  <w:style w:type="paragraph" w:styleId="NormalIndent">
    <w:name w:val="Normal Indent"/>
    <w:basedOn w:val="Normal"/>
    <w:qFormat/>
    <w:pPr/>
    <w:rPr/>
  </w:style>
  <w:style w:type="paragraph" w:styleId="NoteHeading">
    <w:name w:val="Note Heading"/>
    <w:basedOn w:val="Normal"/>
    <w:next w:val="Normal"/>
    <w:qFormat/>
    <w:pPr/>
    <w:rPr/>
  </w:style>
  <w:style w:type="paragraph" w:styleId="PlainText">
    <w:name w:val="Plain Text"/>
    <w:basedOn w:val="Normal"/>
    <w:qFormat/>
    <w:pPr/>
    <w:rPr>
      <w:sz w:val="20"/>
      <w:szCs w:val="20"/>
    </w:rPr>
  </w:style>
  <w:style w:type="paragraph" w:styleId="Salutation">
    <w:name w:val="Salutation"/>
    <w:basedOn w:val="Normal"/>
    <w:next w:val="Normal"/>
    <w:qFormat/>
    <w:pPr/>
    <w:rPr/>
  </w:style>
  <w:style w:type="paragraph" w:styleId="Signature">
    <w:name w:val="Signature"/>
    <w:basedOn w:val="Normal"/>
    <w:pPr>
      <w:ind w:hanging="0" w:start="4320" w:end="0"/>
    </w:pPr>
    <w:rPr/>
  </w:style>
  <w:style w:type="paragraph" w:styleId="Subtitle">
    <w:name w:val="Subtitle"/>
    <w:basedOn w:val="Normal"/>
    <w:next w:val="BodyText"/>
    <w:qFormat/>
    <w:pPr>
      <w:spacing w:before="0" w:after="60"/>
      <w:jc w:val="center"/>
      <w:outlineLvl w:val="1"/>
    </w:pPr>
    <w:rPr/>
  </w:style>
  <w:style w:type="paragraph" w:styleId="TableofAuthorities">
    <w:name w:val="Table of Authorities"/>
    <w:basedOn w:val="Normal"/>
    <w:next w:val="Normal"/>
    <w:qFormat/>
    <w:pPr>
      <w:ind w:hanging="260" w:start="260" w:end="0"/>
    </w:pPr>
    <w:rPr/>
  </w:style>
  <w:style w:type="paragraph" w:styleId="TableofFigures">
    <w:name w:val="Table of Figures"/>
    <w:basedOn w:val="Normal"/>
    <w:next w:val="Normal"/>
    <w:qFormat/>
    <w:pPr>
      <w:ind w:hanging="480" w:start="480" w:end="0"/>
    </w:pPr>
    <w:rPr/>
  </w:style>
  <w:style w:type="paragraph" w:styleId="BIIOldL1">
    <w:name w:val="BIIOld_L1"/>
    <w:basedOn w:val="Normal"/>
    <w:next w:val="Normal"/>
    <w:qFormat/>
    <w:pPr>
      <w:keepNext w:val="true"/>
      <w:numPr>
        <w:ilvl w:val="0"/>
        <w:numId w:val="7"/>
      </w:numPr>
      <w:outlineLvl w:val="0"/>
    </w:pPr>
    <w:rPr/>
  </w:style>
  <w:style w:type="paragraph" w:styleId="BIIOldL2">
    <w:name w:val="BIIOld_L2"/>
    <w:basedOn w:val="Normal"/>
    <w:next w:val="Normal"/>
    <w:qFormat/>
    <w:pPr>
      <w:numPr>
        <w:ilvl w:val="0"/>
        <w:numId w:val="7"/>
      </w:numPr>
      <w:outlineLvl w:val="1"/>
    </w:pPr>
    <w:rPr>
      <w:u w:val="single"/>
    </w:rPr>
  </w:style>
  <w:style w:type="paragraph" w:styleId="BIIOldL3">
    <w:name w:val="BIIOld_L3"/>
    <w:basedOn w:val="Normal"/>
    <w:next w:val="Normal"/>
    <w:qFormat/>
    <w:pPr>
      <w:numPr>
        <w:ilvl w:val="0"/>
        <w:numId w:val="7"/>
      </w:numPr>
      <w:outlineLvl w:val="2"/>
    </w:pPr>
    <w:rPr/>
  </w:style>
  <w:style w:type="paragraph" w:styleId="BIIOldL4">
    <w:name w:val="BIIOld_L4"/>
    <w:basedOn w:val="Normal"/>
    <w:next w:val="Normal"/>
    <w:qFormat/>
    <w:pPr>
      <w:numPr>
        <w:ilvl w:val="0"/>
        <w:numId w:val="7"/>
      </w:numPr>
      <w:outlineLvl w:val="3"/>
    </w:pPr>
    <w:rPr/>
  </w:style>
  <w:style w:type="paragraph" w:styleId="BIIOldL5">
    <w:name w:val="BIIOld_L5"/>
    <w:basedOn w:val="Normal"/>
    <w:next w:val="Normal"/>
    <w:qFormat/>
    <w:pPr>
      <w:keepNext w:val="true"/>
      <w:widowControl w:val="false"/>
      <w:numPr>
        <w:ilvl w:val="0"/>
        <w:numId w:val="7"/>
      </w:numPr>
      <w:outlineLvl w:val="4"/>
    </w:pPr>
    <w:rPr/>
  </w:style>
  <w:style w:type="paragraph" w:styleId="2indents">
    <w:name w:val="2indents"/>
    <w:basedOn w:val="BodyText"/>
    <w:qFormat/>
    <w:pPr>
      <w:ind w:hanging="720" w:start="1440" w:end="0"/>
    </w:pPr>
    <w:rPr>
      <w:rFonts w:ascii="Bembo" w:hAnsi="Bembo" w:cs="Bembo"/>
      <w:sz w:val="26"/>
      <w:szCs w:val="26"/>
      <w:lang w:val="en-GB"/>
    </w:rPr>
  </w:style>
  <w:style w:type="paragraph" w:styleId="a">
    <w:name w:val="(a)"/>
    <w:basedOn w:val="BodyText"/>
    <w:qFormat/>
    <w:pPr>
      <w:ind w:hanging="720" w:start="720" w:end="0"/>
    </w:pPr>
    <w:rPr/>
  </w:style>
  <w:style w:type="paragraph" w:styleId="i">
    <w:name w:val="(i)"/>
    <w:basedOn w:val="BodyText"/>
    <w:qFormat/>
    <w:pPr>
      <w:tabs>
        <w:tab w:val="clear" w:pos="720"/>
        <w:tab w:val="right" w:pos="1296" w:leader="none"/>
      </w:tabs>
      <w:ind w:hanging="1440" w:start="1440" w:end="0"/>
    </w:pPr>
    <w:rPr/>
  </w:style>
  <w:style w:type="paragraph" w:styleId="indexhead2">
    <w:name w:val="index head2"/>
    <w:basedOn w:val="BodyText"/>
    <w:qFormat/>
    <w:pPr>
      <w:tabs>
        <w:tab w:val="clear" w:pos="720"/>
        <w:tab w:val="right" w:pos="8301" w:leader="none"/>
      </w:tabs>
    </w:pPr>
    <w:rPr>
      <w:b/>
      <w:bCs/>
    </w:rPr>
  </w:style>
  <w:style w:type="paragraph" w:styleId="ParaHeading">
    <w:name w:val="ParaHeading"/>
    <w:basedOn w:val="Normal"/>
    <w:next w:val="BodyText"/>
    <w:qFormat/>
    <w:pPr>
      <w:keepNext w:val="true"/>
    </w:pPr>
    <w:rPr>
      <w:b/>
    </w:rPr>
  </w:style>
  <w:style w:type="paragraph" w:styleId="A1">
    <w:name w:val="A"/>
    <w:basedOn w:val="BodyText"/>
    <w:qFormat/>
    <w:pPr>
      <w:ind w:hanging="432" w:start="1872" w:end="0"/>
    </w:pPr>
    <w:rPr/>
  </w:style>
  <w:style w:type="paragraph" w:styleId="Sealing">
    <w:name w:val="Sealing"/>
    <w:basedOn w:val="Normal"/>
    <w:qFormat/>
    <w:pPr>
      <w:keepLines/>
      <w:tabs>
        <w:tab w:val="clear" w:pos="720"/>
        <w:tab w:val="left" w:pos="1728" w:leader="none"/>
        <w:tab w:val="left" w:pos="4320" w:leader="none"/>
      </w:tabs>
      <w:spacing w:before="0" w:after="480"/>
    </w:pPr>
    <w:rPr/>
  </w:style>
  <w:style w:type="paragraph" w:styleId="footer2">
    <w:name w:val="footer2"/>
    <w:basedOn w:val="Footer"/>
    <w:qFormat/>
    <w:pPr>
      <w:tabs>
        <w:tab w:val="clear" w:pos="8280"/>
        <w:tab w:val="right" w:pos="8064" w:leader="none"/>
      </w:tabs>
    </w:pPr>
    <w:rPr/>
  </w:style>
  <w:style w:type="paragraph" w:styleId="pmf">
    <w:name w:val="pmf"/>
    <w:basedOn w:val="BodyText"/>
    <w:qFormat/>
    <w:pPr/>
    <w:rPr/>
  </w:style>
  <w:style w:type="paragraph" w:styleId="Yourref">
    <w:name w:val="Yourref"/>
    <w:basedOn w:val="Normal"/>
    <w:next w:val="Date"/>
    <w:qFormat/>
    <w:pPr>
      <w:tabs>
        <w:tab w:val="clear" w:pos="720"/>
        <w:tab w:val="left" w:pos="1440" w:leader="none"/>
      </w:tabs>
      <w:spacing w:before="0" w:after="840"/>
      <w:jc w:val="end"/>
    </w:pPr>
    <w:rPr>
      <w:sz w:val="18"/>
      <w:szCs w:val="18"/>
    </w:rPr>
  </w:style>
  <w:style w:type="paragraph" w:styleId="Yours">
    <w:name w:val="Yours"/>
    <w:basedOn w:val="BodyText"/>
    <w:next w:val="Author"/>
    <w:qFormat/>
    <w:pPr>
      <w:keepNext w:val="true"/>
      <w:spacing w:before="0" w:after="1200"/>
    </w:pPr>
    <w:rPr/>
  </w:style>
  <w:style w:type="paragraph" w:styleId="ys">
    <w:name w:val="ys"/>
    <w:basedOn w:val="Yours"/>
    <w:next w:val="Author"/>
    <w:qFormat/>
    <w:pPr>
      <w:spacing w:before="0" w:after="240"/>
    </w:pPr>
    <w:rPr/>
  </w:style>
  <w:style w:type="paragraph" w:styleId="Author">
    <w:name w:val="Author"/>
    <w:basedOn w:val="ys"/>
    <w:qFormat/>
    <w:pPr>
      <w:spacing w:before="0" w:after="0"/>
    </w:pPr>
    <w:rPr/>
  </w:style>
  <w:style w:type="paragraph" w:styleId="Ourref">
    <w:name w:val="Ourref"/>
    <w:basedOn w:val="Normal"/>
    <w:next w:val="Yourref"/>
    <w:qFormat/>
    <w:pPr>
      <w:tabs>
        <w:tab w:val="clear" w:pos="720"/>
        <w:tab w:val="left" w:pos="1440" w:leader="none"/>
      </w:tabs>
      <w:spacing w:before="0" w:after="200"/>
      <w:jc w:val="end"/>
    </w:pPr>
    <w:rPr>
      <w:sz w:val="18"/>
      <w:szCs w:val="18"/>
    </w:rPr>
  </w:style>
  <w:style w:type="paragraph" w:styleId="Address">
    <w:name w:val="Address"/>
    <w:basedOn w:val="BodyText"/>
    <w:qFormat/>
    <w:pPr>
      <w:spacing w:lineRule="exact" w:line="280" w:before="0" w:after="720"/>
    </w:pPr>
    <w:rPr>
      <w:lang w:val="en-CA" w:eastAsia="en-CA"/>
    </w:rPr>
  </w:style>
  <w:style w:type="paragraph" w:styleId="DirectDial">
    <w:name w:val="Direct Dial"/>
    <w:basedOn w:val="Normal"/>
    <w:next w:val="Ourref"/>
    <w:qFormat/>
    <w:pPr>
      <w:tabs>
        <w:tab w:val="clear" w:pos="720"/>
        <w:tab w:val="left" w:pos="1440" w:leader="none"/>
      </w:tabs>
      <w:spacing w:before="0" w:after="200"/>
      <w:jc w:val="end"/>
    </w:pPr>
    <w:rPr>
      <w:sz w:val="18"/>
      <w:szCs w:val="18"/>
    </w:rPr>
  </w:style>
  <w:style w:type="paragraph" w:styleId="Dear">
    <w:name w:val="Dear"/>
    <w:basedOn w:val="Normal"/>
    <w:next w:val="BodyText"/>
    <w:qFormat/>
    <w:pPr>
      <w:jc w:val="both"/>
    </w:pPr>
    <w:rPr/>
  </w:style>
  <w:style w:type="paragraph" w:styleId="ByHand">
    <w:name w:val="ByHand"/>
    <w:basedOn w:val="BodyText"/>
    <w:next w:val="Address"/>
    <w:qFormat/>
    <w:pPr>
      <w:spacing w:before="0" w:after="0"/>
      <w:jc w:val="start"/>
    </w:pPr>
    <w:rPr/>
  </w:style>
  <w:style w:type="paragraph" w:styleId="MarginalNote">
    <w:name w:val="Marginal Note"/>
    <w:basedOn w:val="Normal"/>
    <w:next w:val="BodyText"/>
    <w:qFormat/>
    <w:pPr>
      <w:keepNext w:val="true"/>
      <w:keepLines/>
      <w:spacing w:lineRule="exact" w:line="180" w:before="40" w:after="0"/>
    </w:pPr>
    <w:rPr>
      <w:b/>
      <w:sz w:val="16"/>
    </w:rPr>
  </w:style>
  <w:style w:type="paragraph" w:styleId="Label">
    <w:name w:val="Label"/>
    <w:basedOn w:val="BodyText"/>
    <w:qFormat/>
    <w:pPr>
      <w:spacing w:lineRule="exact" w:line="280" w:before="240" w:after="120"/>
      <w:ind w:hanging="0" w:start="284" w:end="0"/>
    </w:pPr>
    <w:rPr/>
  </w:style>
  <w:style w:type="paragraph" w:styleId="Paragraph2">
    <w:name w:val="Paragraph 2"/>
    <w:basedOn w:val="Normal"/>
    <w:qFormat/>
    <w:pPr>
      <w:widowControl w:val="false"/>
      <w:tabs>
        <w:tab w:val="clear" w:pos="720"/>
        <w:tab w:val="left" w:pos="-1440" w:leader="none"/>
        <w:tab w:val="left" w:pos="-720" w:leader="none"/>
        <w:tab w:val="left" w:pos="0" w:leader="none"/>
        <w:tab w:val="right" w:pos="1800" w:leader="none"/>
        <w:tab w:val="left" w:pos="198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9000" w:leader="none"/>
        <w:tab w:val="left" w:pos="9720" w:leader="none"/>
      </w:tabs>
      <w:ind w:hanging="0" w:start="720" w:end="0"/>
    </w:pPr>
    <w:rPr>
      <w:rFonts w:ascii="Palatino;Book Antiqua" w:hAnsi="Palatino;Book Antiqua" w:cs="Palatino;Book Antiqua"/>
    </w:rPr>
  </w:style>
  <w:style w:type="paragraph" w:styleId="Legal2L4">
    <w:name w:val="Legal2_L4"/>
    <w:basedOn w:val="Normal"/>
    <w:qFormat/>
    <w:pPr>
      <w:widowControl w:val="false"/>
      <w:ind w:firstLine="720" w:start="720" w:end="0"/>
    </w:pPr>
    <w:rPr/>
  </w:style>
  <w:style w:type="paragraph" w:styleId="BodyContinued">
    <w:name w:val="Body Continued"/>
    <w:basedOn w:val="Normal"/>
    <w:qFormat/>
    <w:pPr>
      <w:widowControl w:val="false"/>
    </w:pPr>
    <w:rPr/>
  </w:style>
  <w:style w:type="paragraph" w:styleId="Legal2L5">
    <w:name w:val="Legal2_L5"/>
    <w:basedOn w:val="Legal2L4"/>
    <w:qFormat/>
    <w:pPr>
      <w:ind w:firstLine="720" w:start="1440" w:end="0"/>
    </w:pPr>
    <w:rPr/>
  </w:style>
  <w:style w:type="paragraph" w:styleId="CPNormal">
    <w:name w:val="CPNormal"/>
    <w:basedOn w:val="Normal"/>
    <w:qFormat/>
    <w:pPr>
      <w:ind w:firstLine="1440" w:start="0" w:end="0"/>
    </w:pPr>
    <w:rPr/>
  </w:style>
  <w:style w:type="paragraph" w:styleId="E-mailSignature">
    <w:name w:val="E-mail Signature"/>
    <w:basedOn w:val="Normal"/>
    <w:qFormat/>
    <w:pPr/>
    <w:rPr/>
  </w:style>
  <w:style w:type="paragraph" w:styleId="IndexHeading2">
    <w:name w:val="Index Heading 2"/>
    <w:basedOn w:val="IndexHeading"/>
    <w:qFormat/>
    <w:pPr>
      <w:tabs>
        <w:tab w:val="clear" w:pos="720"/>
        <w:tab w:val="right" w:pos="8280" w:leader="none"/>
      </w:tabs>
      <w:jc w:val="start"/>
    </w:pPr>
    <w:rPr/>
  </w:style>
  <w:style w:type="paragraph" w:styleId="DeltaViewTableHeading">
    <w:name w:val="DeltaView Table Heading"/>
    <w:basedOn w:val="Normal"/>
    <w:qFormat/>
    <w:pPr>
      <w:spacing w:before="0" w:after="120"/>
    </w:pPr>
    <w:rPr>
      <w:rFonts w:ascii="Arial" w:hAnsi="Arial" w:eastAsia="Times New Roman" w:cs="Arial"/>
      <w:b/>
      <w:bCs/>
    </w:rPr>
  </w:style>
  <w:style w:type="paragraph" w:styleId="DeltaViewTableBody">
    <w:name w:val="DeltaView Table Body"/>
    <w:basedOn w:val="Normal"/>
    <w:qFormat/>
    <w:pPr>
      <w:spacing w:before="0" w:after="0"/>
    </w:pPr>
    <w:rPr>
      <w:rFonts w:ascii="Arial" w:hAnsi="Arial" w:eastAsia="Times New Roman" w:cs="Arial"/>
    </w:rPr>
  </w:style>
  <w:style w:type="paragraph" w:styleId="DeltaViewAnnounce">
    <w:name w:val="DeltaView Announce"/>
    <w:qFormat/>
    <w:pPr>
      <w:widowControl/>
      <w:autoSpaceDE w:val="false"/>
      <w:bidi w:val="0"/>
      <w:spacing w:before="100" w:after="100"/>
    </w:pPr>
    <w:rPr>
      <w:rFonts w:ascii="Arial" w:hAnsi="Arial" w:eastAsia="Times New Roman" w:cs="Arial"/>
      <w:color w:val="auto"/>
      <w:sz w:val="24"/>
      <w:szCs w:val="24"/>
      <w:lang w:val="en-GB" w:bidi="ar-SA" w:eastAsia="zh-CN"/>
    </w:rPr>
  </w:style>
  <w:style w:type="paragraph" w:styleId="BodyText2">
    <w:name w:val="Body Text 2"/>
    <w:basedOn w:val="Normal"/>
    <w:qFormat/>
    <w:pPr>
      <w:jc w:val="both"/>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StyleNum">
    <w:name w:val="WW8StyleNum"/>
    <w:qFormat/>
  </w:style>
  <w:style w:type="numbering" w:styleId="WW8StyleNum1">
    <w:name w:val="WW8StyleNum1"/>
    <w:qFormat/>
  </w:style>
  <w:style w:type="numbering" w:styleId="WW8StyleNum2">
    <w:name w:val="WW8StyleNum2"/>
    <w:qFormat/>
  </w:style>
  <w:style w:type="numbering" w:styleId="WW8StyleNum3">
    <w:name w:val="WW8StyleNum3"/>
    <w:qFormat/>
  </w:style>
  <w:style w:type="numbering" w:styleId="WW8StyleNum4">
    <w:name w:val="WW8Style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header" Target="header6.xml"/><Relationship Id="rId13" Type="http://schemas.openxmlformats.org/officeDocument/2006/relationships/header" Target="header7.xml"/><Relationship Id="rId14" Type="http://schemas.openxmlformats.org/officeDocument/2006/relationships/footer" Target="footer6.xml"/><Relationship Id="rId15" Type="http://schemas.openxmlformats.org/officeDocument/2006/relationships/footer" Target="footer7.xml"/><Relationship Id="rId16" Type="http://schemas.openxmlformats.org/officeDocument/2006/relationships/footnotes" Target="footnotes.xml"/><Relationship Id="rId17" Type="http://schemas.openxmlformats.org/officeDocument/2006/relationships/numbering" Target="numbering.xml"/><Relationship Id="rId18" Type="http://schemas.openxmlformats.org/officeDocument/2006/relationships/fontTable" Target="fontTable.xml"/><Relationship Id="rId19" Type="http://schemas.openxmlformats.org/officeDocument/2006/relationships/settings" Target="settings.xml"/><Relationship Id="rId2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AME-FRE-AME-DOC.DOT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2000-11-17T23:03:00Z</dcterms:created>
  <dc:creator>MEC</dc:creator>
  <dc:description/>
  <dc:language>en-CA</dc:language>
  <cp:lastModifiedBy>Melissa Raciti</cp:lastModifiedBy>
  <cp:lastPrinted>2000-08-11T13:14:00Z</cp:lastPrinted>
  <dcterms:modified xsi:type="dcterms:W3CDTF">2000-11-17T23:03:00Z</dcterms:modified>
  <cp:revision>2</cp:revision>
  <dc:subject>62+</dc:subject>
  <dc:title>MTH&amp;M DRAFT 8/11/98</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earView Info">
    <vt:lpwstr/>
  </property>
  <property fmtid="{D5CDD505-2E9C-101B-9397-08002B2CF9AE}" pid="3" name="ClearView IsDirty">
    <vt:lpwstr/>
  </property>
  <property fmtid="{D5CDD505-2E9C-101B-9397-08002B2CF9AE}" pid="4" name="Date Sent">
    <vt:r8>5</vt:r8>
  </property>
  <property fmtid="{D5CDD505-2E9C-101B-9397-08002B2CF9AE}" pid="5" name="DeltaView File">
    <vt:bool>1</vt:bool>
  </property>
</Properties>
</file>