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Paragraph"/>
        <w:widowControl/>
        <w:tabs>
          <w:tab w:val="clear" w:pos="0"/>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1440" w:start="1440" w:end="0"/>
        <w:jc w:val="center"/>
        <w:rPr>
          <w:rFonts w:ascii="Baskerville Old Face" w:hAnsi="Baskerville Old Face" w:cs="Baskerville Old Face"/>
          <w:b/>
          <w:bCs/>
          <w:sz w:val="28"/>
          <w:szCs w:val="28"/>
        </w:rPr>
      </w:pPr>
      <w:r>
        <w:rPr>
          <w:rFonts w:cs="Baskerville Old Face" w:ascii="Baskerville Old Face" w:hAnsi="Baskerville Old Face"/>
          <w:b/>
          <w:bCs/>
          <w:sz w:val="28"/>
          <w:szCs w:val="28"/>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4"/>
        </w:rPr>
      </w:pPr>
      <w:r>
        <w:rPr>
          <w:b/>
          <w:bCs/>
          <w:sz w:val="28"/>
          <w:szCs w:val="28"/>
        </w:rPr>
        <w:t>UNITED STATES OF AMERICA</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b/>
          <w:bCs/>
          <w:sz w:val="28"/>
          <w:szCs w:val="28"/>
        </w:rPr>
      </w:pPr>
      <w:r>
        <w:rPr>
          <w:b/>
          <w:bCs/>
          <w:sz w:val="28"/>
          <w:szCs w:val="28"/>
        </w:rPr>
        <w:t>BEFORE THE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24"/>
        </w:rPr>
      </w:pPr>
      <w:r>
        <w:rPr>
          <w:b/>
          <w:bCs/>
          <w:sz w:val="28"/>
          <w:szCs w:val="28"/>
        </w:rPr>
        <w:t>FEDERAL ENERGY REGULATORY COMMISSION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sz w:val="24"/>
        </w:rPr>
      </w:pPr>
      <w:r>
        <w:rPr>
          <w:sz w:val="24"/>
        </w:rPr>
        <w:t>__________________________________________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start="4320" w:end="0"/>
        <w:jc w:val="both"/>
        <w:rPr>
          <w:sz w:val="24"/>
        </w:rPr>
      </w:pPr>
      <w:r>
        <w:rPr>
          <w:sz w:val="24"/>
        </w:rPr>
        <w:t>)</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4320" w:end="0"/>
        <w:jc w:val="both"/>
        <w:rPr>
          <w:sz w:val="24"/>
        </w:rPr>
      </w:pPr>
      <w:r>
        <w:rPr>
          <w:sz w:val="24"/>
        </w:rPr>
        <w:t>San Diego Gas &amp; Electric Company</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5040" w:end="0"/>
        <w:jc w:val="both"/>
        <w:rPr>
          <w:sz w:val="24"/>
        </w:rPr>
      </w:pPr>
      <w:r>
        <w:rPr>
          <w:sz w:val="24"/>
        </w:rPr>
        <w:t>Complainant,</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5040" w:end="0"/>
        <w:jc w:val="both"/>
        <w:rPr>
          <w:sz w:val="24"/>
        </w:rPr>
      </w:pPr>
      <w:r>
        <w:rPr>
          <w:sz w:val="24"/>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4320" w:start="5760" w:end="0"/>
        <w:jc w:val="both"/>
        <w:rPr>
          <w:sz w:val="24"/>
        </w:rPr>
      </w:pPr>
      <w:r>
        <w:rPr>
          <w:sz w:val="24"/>
        </w:rPr>
        <w:t>v.</w:t>
        <w:tab/>
        <w:tab/>
        <w:tab/>
        <w:tab/>
        <w:tab/>
        <w:t xml:space="preserve">) </w:t>
        <w:tab/>
        <w:tab/>
        <w:t>Docket No. EL00-95-031</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Sellers of Energy and Ancillary Services</w:t>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 xml:space="preserve">into Markets Operated by the California </w:t>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760" w:start="5760" w:end="0"/>
        <w:jc w:val="both"/>
        <w:rPr>
          <w:sz w:val="24"/>
        </w:rPr>
      </w:pPr>
      <w:r>
        <w:rPr>
          <w:sz w:val="24"/>
        </w:rPr>
        <w:t>Independent System Operator</w:t>
        <w:tab/>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 xml:space="preserve">and the California Power Exchange </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3600" w:start="5040" w:end="0"/>
        <w:jc w:val="both"/>
        <w:rPr>
          <w:sz w:val="24"/>
        </w:rPr>
      </w:pPr>
      <w:r>
        <w:rPr>
          <w:sz w:val="24"/>
        </w:rPr>
        <w:t>Respondents.</w:t>
        <w:tab/>
        <w:tab/>
        <w:tab/>
        <w:tab/>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6480" w:end="0"/>
        <w:jc w:val="both"/>
        <w:rPr>
          <w:sz w:val="24"/>
        </w:rPr>
      </w:pPr>
      <w:r>
        <w:rPr>
          <w:sz w:val="24"/>
        </w:rPr>
        <w:t>)</w:t>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 xml:space="preserve">Investigation of Practices of the </w:t>
        <w:tab/>
        <w:tab/>
        <w:tab/>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 xml:space="preserve">California Independent System Operator </w:t>
        <w:tab/>
        <w:tab/>
        <w:t>)</w:t>
        <w:tab/>
        <w:tab/>
        <w:t xml:space="preserve">Docket No. EL00-98-030 </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5040" w:start="5040" w:end="0"/>
        <w:jc w:val="both"/>
        <w:rPr>
          <w:sz w:val="24"/>
        </w:rPr>
      </w:pPr>
      <w:r>
        <w:rPr>
          <w:sz w:val="24"/>
        </w:rPr>
        <w:t>and the California Power Exchange</w:t>
        <w:tab/>
        <w:tab/>
        <w:tab/>
        <w:t>)</w:t>
        <w:tab/>
        <w:tab/>
        <w:tab/>
        <w:t xml:space="preserve">and EL00-98-033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California Independent System Operator</w:t>
        <w:tab/>
        <w:tab/>
        <w:t>)</w:t>
        <w:tab/>
        <w:tab/>
        <w:t>Docket No. RT01-85-000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Corporation</w:t>
        <w:tab/>
        <w:tab/>
        <w:tab/>
        <w:tab/>
        <w:tab/>
        <w:tab/>
        <w:t>)</w:t>
        <w:tab/>
        <w:tab/>
        <w:tab/>
        <w:t>and RT01-85-001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5040" w:end="0"/>
        <w:jc w:val="both"/>
        <w:rPr>
          <w:sz w:val="24"/>
        </w:rPr>
      </w:pP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Investigation of Wholesale Rates of Public</w:t>
        <w:tab/>
        <w:tab/>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Sellers of Energy and Ancillary Services in the</w:t>
        <w:tab/>
        <w:t xml:space="preserve">) </w:t>
        <w:tab/>
        <w:tab/>
        <w:t>Docket No. EL01-68-000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Western Systems Coordinating Council</w:t>
        <w:tab/>
        <w:tab/>
        <w:t xml:space="preserve">) </w:t>
        <w:tab/>
        <w:tab/>
        <w:tab/>
        <w:t>and EL01-68-001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__________________________________________)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bCs/>
          <w:sz w:val="28"/>
          <w:szCs w:val="28"/>
        </w:rPr>
        <w:t xml:space="preserve">COMMENTS OF ENRON POWER MARKETING, INC. AND </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b/>
          <w:bCs/>
          <w:sz w:val="28"/>
          <w:szCs w:val="28"/>
        </w:rPr>
      </w:pPr>
      <w:r>
        <w:rPr>
          <w:b/>
          <w:bCs/>
          <w:sz w:val="28"/>
          <w:szCs w:val="28"/>
        </w:rPr>
        <w:tab/>
        <w:t>CORAL POWER, L.L.C.</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b/>
          <w:bCs/>
          <w:sz w:val="28"/>
          <w:szCs w:val="28"/>
        </w:rPr>
        <w:tab/>
        <w:t>ON EXTENSION OF WEST-WIDE PRICE MITIGATION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type w:val="nextPage"/>
          <w:pgSz w:w="12240" w:h="15840"/>
          <w:pgMar w:left="1440" w:right="1440" w:gutter="0" w:header="0" w:top="1440" w:footer="0" w:bottom="1440"/>
          <w:pgNumType w:fmt="decimal"/>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In response to the Commission's request in its June 19, 2001 order in this proceeding, </w:t>
      </w:r>
      <w:r>
        <w:rPr>
          <w:i/>
          <w:iCs/>
          <w:sz w:val="24"/>
        </w:rPr>
        <w:t>San Diego Gas &amp; Electric Co. v. Sellers of Energy and Ancillary Services into Markets Operated by the California Independent System Operator and the California Power Exchange</w:t>
      </w:r>
      <w:r>
        <w:rPr>
          <w:sz w:val="24"/>
        </w:rPr>
        <w:t>, 95 FERC ¶ 61,418 (2001)("June 19 Order"), Enron Power Marketing, Inc. ("EPMI") and Coral Power, L.L.C. ("Coral")(jointly, "Commenters") hereby submit their comments on the extension of price mitigation in the Western System Coordinating Council ("WSCC") beyond the Summer of 2001.</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bCs/>
          <w:sz w:val="28"/>
          <w:szCs w:val="28"/>
        </w:rPr>
        <w:t>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b/>
          <w:bCs/>
          <w:sz w:val="28"/>
          <w:szCs w:val="28"/>
        </w:rPr>
        <w:tab/>
        <w:t>SUMMARY OF 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In the June 19 Order, the Commission adopted a mitigation plan for the WSCC for the period June 20, 2001 to September 30, 2002, that mirrored the plan that it had adopted for California.   </w:t>
      </w:r>
      <w:r>
        <w:rPr>
          <w:i/>
          <w:iCs/>
          <w:sz w:val="24"/>
        </w:rPr>
        <w:t>June 19 Order</w:t>
      </w:r>
      <w:r>
        <w:rPr>
          <w:sz w:val="24"/>
        </w:rPr>
        <w:t xml:space="preserve">, 95 FERC at 62,549.  The Commission asked for comments from interested parties as to whether the WSCC mitigation methodology should be extended into future periods. </w:t>
      </w:r>
      <w:r>
        <w:rPr>
          <w:i/>
          <w:iCs/>
          <w:sz w:val="24"/>
        </w:rPr>
        <w:t>Id.</w:t>
      </w:r>
      <w:r>
        <w:rPr>
          <w:sz w:val="24"/>
        </w:rPr>
        <w:t xml:space="preserve"> at 62,570.  The Commission requested comments and proposals within 60 days of the June 19 Order, concerning (1) any developments, either beneficial or adverse, which have occurred in the Western region spot markets as result of this order, (2) any difficulties with implementation of the mitigation plan detailed in the order, and the relevant solutions thereto, and (3) any alternative market mitigation approaches.  </w:t>
      </w:r>
      <w:r>
        <w:rPr>
          <w:i/>
          <w:iCs/>
          <w:sz w:val="24"/>
        </w:rPr>
        <w:t>Id.</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In response to the Commission's original request for comments the implementation of a West-wide mitigation plan in the April 26 Order, and again in its request for rehearing of the June 19 Order, Commenters objected to West-wide pricing mitigation because it would prevent the development of a fully functioning market in the WSCC.  In the present comments, Commenters note instances where the cap has had negative impacts on the power markets, and argues that the pricing mitigation plan should be eliminated after September 30, 2001.  </w:t>
      </w:r>
    </w:p>
    <w:p>
      <w:pPr>
        <w:sect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If the Commission chooses to continue the pricing mitigation methodology for another year, it should require that market rules be transparent in order to provide greater certainty for market participants.  As the Commission noted in their July 12 rulings,</w:t>
      </w:r>
      <w:r>
        <w:rPr>
          <w:rStyle w:val="FootnoteCharacters"/>
          <w:rStyle w:val="FootnoteReference"/>
          <w:sz w:val="24"/>
          <w:vertAlign w:val="superscript"/>
        </w:rPr>
        <w:footnoteReference w:id="2"/>
      </w:r>
      <w:r>
        <w:rPr>
          <w:sz w:val="24"/>
        </w:rPr>
        <w:t xml:space="preserve"> the WSCC operates as a single natural market and therefore, the mitigation plan should encompass the entire WSCC.  Thus, the determination of the proxy price should be not be limited to California generators; rather, it should determined by the least efficient generator in the entire West.   Finally, in order to encourage greater participation in the Western markets, Commenters also recommend that marketers be given the opportunity to recover justifiable costs above the proxy price.  For example, Commenters suggest that marketers be allowed to justify their bids over the proxy price.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bCs/>
          <w:sz w:val="28"/>
          <w:szCs w:val="28"/>
        </w:rPr>
        <w:t>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b/>
          <w:bCs/>
          <w:sz w:val="28"/>
          <w:szCs w:val="28"/>
        </w:rPr>
        <w:tab/>
        <w:t>COMMENTS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Level1"/>
        <w:numPr>
          <w:ilvl w:val="0"/>
          <w:numId w:val="1"/>
        </w:num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The West-wide Price Cap Should be Eliminated Because It Has Had Adverse Effects on Market Participation and Is Adverse to the Public Interest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 xml:space="preserve">Price caps interfere with the rights of sellers to fully recover their costs and receive returns consistent with the risks they face, and thus act as a disincentive for generators to locate their plants throughout the West, at a time when additional supply is desperately needed.  This is plainly adverse to the public interest.  Only when market participants become assured that the markets are rational and non-confiscatory will they be able to fully participate in those markets. At this critical juncture, the Commission should adopt policies that will increase rather than decrease confidence in the market, and encourage greater participation.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Any disincentives that could potentially decrease participation could dramatically impair reliability, as evidenced by the blackouts that occurred in Nevada on July 2, 2001.  As EPMI, Coral, and Exelon Generation Corporation explained in their rehearing request of the June 19 Order, those blackouts were a direct consequence of the inability of marketers to participate fully in Western markets caused by the implementation of the market mitigation established by that order.  In an interview with Dow Jones, an official of Nevada Power explained how the Commission's mitigation proposal made it uneconomic for marketers to meet customer load even if they were willing to accept a nominal or zero return, because the Commission's proxy price methodology precluded marketers from the ability to recover the transmission costs related to the power that they would have otherwise been able to provide to Nevada Power.  As EPMI, Coral, and Exelon further discussed in their request for rehearing of the June 19 Order, marketers enhance reliability and provide liquidity through the many services that they provide, such as locating available power, scheduling energy transactions, securing transmission and ancillary service, undertaking transaction settlement functions, and providing billing and credit services.  Without the services provided by marketers, buyers would have difficulty arranging for the delivery of power, and  the number of transactions will fall.</w:t>
      </w:r>
      <w:r>
        <w:rPr>
          <w:rStyle w:val="FootnoteCharacters"/>
          <w:rStyle w:val="FootnoteReference"/>
          <w:sz w:val="24"/>
          <w:vertAlign w:val="superscript"/>
        </w:rPr>
        <w:footnoteReference w:id="3"/>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For these reasons, the impacts of the price cap  are adverse to the public interest, and will only serve to decrease public confidence in the California power market.</w:t>
      </w:r>
      <w:r>
        <w:rPr>
          <w:rStyle w:val="FootnoteCharacters"/>
          <w:rStyle w:val="FootnoteReference"/>
          <w:sz w:val="24"/>
          <w:vertAlign w:val="superscript"/>
        </w:rPr>
        <w:footnoteReference w:id="4"/>
      </w:r>
      <w:r>
        <w:rPr>
          <w:sz w:val="24"/>
        </w:rPr>
        <w:t xml:space="preserve">   Commenters therefore submit that price caps should be eliminated effective September 30,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1440" w:start="1440" w:end="0"/>
        <w:jc w:val="both"/>
        <w:rPr/>
      </w:pPr>
      <w:r>
        <w:rPr>
          <w:sz w:val="24"/>
        </w:rPr>
        <w:t xml:space="preserve"> </w:t>
      </w:r>
      <w:r>
        <w:rPr>
          <w:sz w:val="26"/>
          <w:szCs w:val="26"/>
        </w:rPr>
        <w:tab/>
      </w:r>
      <w:r>
        <w:rPr>
          <w:b/>
          <w:bCs/>
          <w:i/>
          <w:iCs/>
          <w:sz w:val="26"/>
          <w:szCs w:val="26"/>
        </w:rPr>
        <w:t xml:space="preserve">B. </w:t>
        <w:tab/>
        <w:t>If the Commission Continues the Price Cap Until September 30, 2002, It Should Be Clarified to Provide for Certainty and Must Be Implemented  WSCC-Wide</w:t>
      </w:r>
      <w:r>
        <w:rPr>
          <w:sz w:val="24"/>
        </w:rPr>
        <w:t xml:space="preserve">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In light of the foregoing negative impacts of the cap, Commenters maintain that the current West-wide price mitigation mechanism should be terminated after September 30, 2001.  Alternatively, if the cap is extended to September 30, 2002, the Commission should adopt the following recommendations.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2160" w:end="0"/>
        <w:jc w:val="both"/>
        <w:rPr>
          <w:sz w:val="24"/>
        </w:rPr>
      </w:pPr>
      <w:r>
        <w:rPr>
          <w:b/>
          <w:bCs/>
          <w:i/>
          <w:iCs/>
          <w:sz w:val="26"/>
          <w:szCs w:val="26"/>
        </w:rPr>
        <w:t xml:space="preserve">1. </w:t>
        <w:tab/>
        <w:t>The Price Cap Must Provide Certainty In Order to Encourage Greater Market Participation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pPr>
      <w:r>
        <w:rPr>
          <w:sz w:val="24"/>
        </w:rPr>
        <w:t xml:space="preserve"> </w:t>
      </w:r>
      <w:r>
        <w:rPr>
          <w:sz w:val="24"/>
        </w:rPr>
        <w:t xml:space="preserve">The proxy price cap must provide certainty and clarity, and be known in advance before a sale is consummated.  Caps that change hourly will not provide the requisite notice to market participants.  The Commission itself has determined that "[b]uyers and sellers need certainty and closure.  To the extent possible, our price mitigation should have clear rules, should set prices to change or adjustment after financial settlement of the day's transactions."  </w:t>
      </w:r>
      <w:r>
        <w:rPr>
          <w:i/>
          <w:iCs/>
          <w:sz w:val="24"/>
        </w:rPr>
        <w:t>June 19 Order</w:t>
      </w:r>
      <w:r>
        <w:rPr>
          <w:sz w:val="24"/>
        </w:rPr>
        <w:t xml:space="preserve">, 95 FERC at 62,547-48.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In accordance with the Commission's statement, the Commission's mitigation plan must have clear rules, should set prices before they are charged, and those prices should not be subject to be revised after financial settlement.</w:t>
      </w:r>
      <w:r>
        <w:rPr>
          <w:rStyle w:val="FootnoteCharacters"/>
          <w:rStyle w:val="FootnoteReference"/>
          <w:sz w:val="24"/>
          <w:vertAlign w:val="superscript"/>
        </w:rPr>
        <w:footnoteReference w:id="5"/>
      </w:r>
      <w:r>
        <w:rPr>
          <w:sz w:val="24"/>
        </w:rPr>
        <w:t xml:space="preserve">  Commenters therefore suggest that the sales in the spot market that are at or below the proxy price in effect when the deal was transacted, should not be subject to any subsequent review or mitigation by the  Commission.  This will provide buyers and sellers with the necessary predictability that their deals will not be subsequently adjusted. If sellers were subject to refunding revenue based on a change in the cap between the time the sale is confirmed and delivery occurs, market liquidity will be adversely impacted and could act as a disincentive against sellers engaging in that sale in the first instance.  Any decrease in market liquidity will in turn, reduce reliability, and further exacerbate the state's energy crisis.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hanging="720" w:start="2160" w:end="0"/>
        <w:jc w:val="both"/>
        <w:rPr>
          <w:sz w:val="24"/>
        </w:rPr>
      </w:pPr>
      <w:r>
        <w:rPr>
          <w:b/>
          <w:bCs/>
          <w:i/>
          <w:iCs/>
          <w:sz w:val="24"/>
        </w:rPr>
        <w:t xml:space="preserve">2. </w:t>
        <w:tab/>
        <w:t>The Commission's Mitigation Plan Should be Instituted in the Entire WSCC, and the Proxy Price Should be Set According to the Least Efficient Generator in the WSCC Region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If price mitigation is to be continued in the West, it should be implemented in the entire eleven-state region that constitutes the WSCC, and should not be limited to California, the Desert Southwest, or the Pacific Northwest region, because, as the Commission has recognized, the WSCC is a single market that is  "inextricably interrelated."  </w:t>
      </w:r>
      <w:r>
        <w:rPr>
          <w:i/>
          <w:iCs/>
          <w:sz w:val="24"/>
        </w:rPr>
        <w:t>June 19 Order</w:t>
      </w:r>
      <w:r>
        <w:rPr>
          <w:sz w:val="24"/>
        </w:rPr>
        <w:t xml:space="preserve">, 95 FERC at 62,545.   Accordingly, any cap that is imposed West-wide should be determined by the highest marginal cost of any thermal unit in the entire WSCC.  Using an interconnection-wide standard for this determination would provide a more accurate picture of market conditions in the entire West.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sz w:val="24"/>
        </w:rPr>
        <w:t xml:space="preserve">In the June 19 Order, the Commission chose the ISO's clearing price to set the maximum price for spot sales throughout the WSCC because it is the only centralized clearinghouse for spot market sales in the WSCC. </w:t>
      </w:r>
      <w:r>
        <w:rPr>
          <w:i/>
          <w:iCs/>
          <w:sz w:val="24"/>
        </w:rPr>
        <w:t>June 19 Order</w:t>
      </w:r>
      <w:r>
        <w:rPr>
          <w:sz w:val="24"/>
        </w:rPr>
        <w:t xml:space="preserve">, 95 FERC at 62,546.  This reasoning is misguided.   First, as Commenters have argued in the past, the Governor's action to seat five members of the ISO governing board rather than the independent governing board contemplated by the Commission's December 15 Order, </w:t>
      </w:r>
      <w:r>
        <w:rPr>
          <w:i/>
          <w:iCs/>
          <w:sz w:val="24"/>
        </w:rPr>
        <w:t>see</w:t>
      </w:r>
      <w:r>
        <w:rPr>
          <w:sz w:val="24"/>
        </w:rPr>
        <w:t xml:space="preserve"> </w:t>
      </w:r>
      <w:r>
        <w:rPr>
          <w:i/>
          <w:iCs/>
          <w:sz w:val="24"/>
        </w:rPr>
        <w:t>San Diego Gas &amp; Electric Co. v. Sellers of Energy and Ancillary Services into Markets Operated by the California Independent System Operator and the California Power Exchange</w:t>
      </w:r>
      <w:r>
        <w:rPr>
          <w:sz w:val="24"/>
        </w:rPr>
        <w:t xml:space="preserve"> 93 FERC ¶ 61,294 at 62,094 (2001) has resulted in the ISO Governing Board acting to further the parochial needs of California consumers, without regard to other market participants and the efficient operation of the market itself.   Second, differing weather conditions in California could cause a difference in power prices in California and the rest of the West.  Historically, California and the Desert Southwest are summer peaking regions, while the Pacific Northwest is winter peaking, these regions have typically "taken turns" supplying each other with peaking energy during alternating seasons.  Third, markets outside of California have been organized historically in a manner significantly differently from the manner in which  California's markets are presently organized.  For these reasons, it is apples-to-oranges to simply assume that the appropriate market clearing price  has any relevance to markets outside of California.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Should a market mitigation plan be adopted WSCC-wide after September 1, 2001, it must  be modified in the following respects.</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bCs/>
          <w:i/>
          <w:iCs/>
          <w:sz w:val="24"/>
        </w:rPr>
        <w:t xml:space="preserve">The cap should be set daily, utilizing published daily gas prices instead of monthly gas prices </w:t>
      </w:r>
      <w:r>
        <w:rPr>
          <w:sz w:val="24"/>
        </w:rPr>
        <w:t>—   In the June 19 Order, the Commission chose monthly gas prices based on the erroneous assumption that monthly gas prices would provide a better measure of marginal costs than daily gas prices.</w:t>
      </w:r>
      <w:r>
        <w:rPr>
          <w:i/>
          <w:iCs/>
          <w:sz w:val="24"/>
        </w:rPr>
        <w:t xml:space="preserve">  June 19 Order</w:t>
      </w:r>
      <w:r>
        <w:rPr>
          <w:sz w:val="24"/>
        </w:rPr>
        <w:t xml:space="preserve">, 95 FERC at 62,560.  Use of daily gas prices is particularly important on reserve deficiency days, as it will provide a more accurate measure of market conditions than the month-ahead gas price, which is set during the latter half of the prior month.   In Chief Judge Wagner's report to the Commission after the mediation in this proceeding concluded, he recommended that refunds be based on the June 19 Order proxy price, but added that daily prices, as opposed to  monthly averages, be used to determine generation costs.   </w:t>
      </w:r>
      <w:r>
        <w:rPr>
          <w:i/>
          <w:iCs/>
          <w:sz w:val="24"/>
        </w:rPr>
        <w:t xml:space="preserve">See </w:t>
      </w:r>
      <w:r>
        <w:rPr>
          <w:sz w:val="24"/>
        </w:rPr>
        <w:t>"</w:t>
      </w:r>
      <w:r>
        <w:rPr>
          <w:i/>
          <w:iCs/>
          <w:sz w:val="24"/>
        </w:rPr>
        <w:t xml:space="preserve">Report and </w:t>
      </w:r>
      <w:r>
        <w:rPr>
          <w:sz w:val="24"/>
        </w:rPr>
        <w:t>Recommendation of Chief Judge and Certification of Record," at 6-7 (issued July 12, 2001).  In order to truly reflect the actual costs of the generator that determines proxy price, the Commission must utilize daily gas prices.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pPr>
      <w:r>
        <w:rPr>
          <w:b/>
          <w:bCs/>
          <w:i/>
          <w:iCs/>
          <w:sz w:val="24"/>
        </w:rPr>
        <w:t>The Commission should allow generators in the WSCC to include an adder for emissions cost to their prices</w:t>
      </w:r>
      <w:r>
        <w:rPr>
          <w:sz w:val="24"/>
        </w:rPr>
        <w:t xml:space="preserve"> —  In the June 19 Order, the Commission allowed bidders bidding into California  to invoice the ISO for costs to comply with emissions requirements, and directed the ISO to file a rate mechanism to bill those costs over the entire load on the ISO System.  </w:t>
      </w:r>
      <w:r>
        <w:rPr>
          <w:i/>
          <w:iCs/>
          <w:sz w:val="24"/>
        </w:rPr>
        <w:t>June 19 Order</w:t>
      </w:r>
      <w:r>
        <w:rPr>
          <w:sz w:val="24"/>
        </w:rPr>
        <w:t>, 95 FERC at 62,562.   The Commission allowed recovery of these costs from the in-state load served by the ISO's system because mitigation fees associated with NOx emissions are a "legitimate cost of producing energy."</w:t>
      </w:r>
      <w:r>
        <w:rPr>
          <w:i/>
          <w:iCs/>
          <w:sz w:val="24"/>
        </w:rPr>
        <w:t xml:space="preserve"> Id.</w:t>
      </w:r>
      <w:r>
        <w:rPr>
          <w:sz w:val="24"/>
        </w:rPr>
        <w:t xml:space="preserve">   However, no similar provision is provided for out-of-state generators, even though generators outside California incur similar costs relating to emission standard compliance, yet are presently unable to recover them.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spacing w:lineRule="auto" w:line="480"/>
        <w:ind w:firstLine="720" w:end="0"/>
        <w:jc w:val="both"/>
        <w:rPr>
          <w:sz w:val="24"/>
        </w:rPr>
      </w:pPr>
      <w:r>
        <w:rPr>
          <w:sz w:val="24"/>
        </w:rPr>
        <w:t>As the Commission found in the June 19 Order, emissions  fees are appropriate costs to be recovered by sellers.  Because there is no functional equivalent in the rest of the WSCC for the clearinghouse function that the ISO provides, in order to allow for symmetrical treatment in the WSCC, the Commission must permit costs of emissions be added into the operating costs of generators outside of California in the WSCC (thereby increasing the proxy price) to allow these units equally to recover emissions costs from the load that they serve.</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spacing w:lineRule="auto" w:line="480"/>
        <w:jc w:val="both"/>
        <w:rPr>
          <w:sz w:val="24"/>
        </w:rPr>
      </w:pPr>
      <w:r>
        <w:rPr>
          <w:sz w:val="24"/>
        </w:rPr>
        <w:tab/>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pPr>
      <w:r>
        <w:rPr>
          <w:sz w:val="24"/>
        </w:rPr>
        <w:tab/>
      </w:r>
      <w:r>
        <w:rPr>
          <w:b/>
          <w:bCs/>
          <w:sz w:val="28"/>
          <w:szCs w:val="28"/>
        </w:rPr>
        <w:t>III.</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b/>
          <w:bCs/>
          <w:sz w:val="28"/>
          <w:szCs w:val="28"/>
        </w:rPr>
        <w:tab/>
        <w:t>CONCLUSION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480"/>
        <w:ind w:firstLine="720" w:end="0"/>
        <w:jc w:val="both"/>
        <w:rPr>
          <w:sz w:val="24"/>
        </w:rPr>
      </w:pPr>
      <w:r>
        <w:rPr>
          <w:sz w:val="24"/>
        </w:rPr>
        <w:t>For the reasons discussed above, Commenters request that the Commission terminate the price mitigation plan for the West after September 30, 2001. Alternatively, if the Commission elects continues the price mitigation plan until September 30, 2002, Commenters request that the Commission adopt the recommendations described herein.</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 xml:space="preserve">Respectfully submitted, </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Ronald N. Carroll</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Kimberly A. Curry</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Bracewell &amp; Patterson, L.L.P.</w:t>
        <w:tab/>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Cs w:val="20"/>
        </w:rPr>
        <w:t>A Registered Limited Liability Partnership</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2000 K Street, NW, Suite 500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Washington, DC 20006</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sz w:val="24"/>
        </w:rPr>
      </w:pPr>
      <w:r>
        <w:rPr>
          <w:sz w:val="24"/>
        </w:rPr>
        <w:t>(202) 828-5800</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4320" w:end="0"/>
        <w:jc w:val="both"/>
        <w:rPr/>
      </w:pPr>
      <w:r>
        <w:rPr>
          <w:i/>
          <w:iCs/>
          <w:sz w:val="24"/>
        </w:rPr>
        <w:t xml:space="preserve">Counsel for Enron Power Marketing, Inc. and Coral </w:t>
        <w:tab/>
        <w:tab/>
        <w:tab/>
        <w:tab/>
        <w:tab/>
        <w:tab/>
        <w:t>Power, L.L.C</w:t>
      </w:r>
      <w:r>
        <w:rPr>
          <w:sz w:val="24"/>
        </w:rPr>
        <w:t>.</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sectPr>
          <w:footerReference w:type="default" r:id="rId2"/>
          <w:footnotePr>
            <w:numFmt w:val="decimal"/>
          </w:footnotePr>
          <w:type w:val="nextPage"/>
          <w:pgSz w:w="12240" w:h="15840"/>
          <w:pgMar w:left="1440" w:right="1440" w:gutter="0" w:header="0" w:top="1440" w:footer="432" w:bottom="488"/>
          <w:pgNumType w:fmt="decimal"/>
          <w:formProt w:val="false"/>
          <w:textDirection w:val="lrTb"/>
          <w:docGrid w:type="default" w:linePitch="360" w:charSpace="0"/>
        </w:sect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August 20, 2001</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tab/>
      </w:r>
      <w:r>
        <w:rPr>
          <w:b/>
          <w:bCs/>
          <w:sz w:val="24"/>
          <w:u w:val="single"/>
        </w:rPr>
        <w:t>CERTIFICATE OF SERVICE</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firstLine="720" w:end="0"/>
        <w:jc w:val="both"/>
        <w:rPr>
          <w:sz w:val="24"/>
        </w:rPr>
      </w:pPr>
      <w:r>
        <w:rPr>
          <w:sz w:val="24"/>
        </w:rPr>
        <w:t>Pursuant to Rule 2010 of the Commission's Rules of Practice and Procedure, I hereby certify that I have this day served a copy of the foregoing on all persons designated on the official service list compiled by the Secretary in this proceeding.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7200" w:leader="none"/>
          <w:tab w:val="left" w:pos="7920" w:leader="none"/>
          <w:tab w:val="left" w:pos="8640" w:leader="none"/>
        </w:tabs>
        <w:ind w:firstLine="1440" w:end="0"/>
        <w:jc w:val="both"/>
        <w:rPr>
          <w:sz w:val="24"/>
        </w:rPr>
      </w:pPr>
      <w:r>
        <w:rPr>
          <w:sz w:val="24"/>
        </w:rPr>
        <w:t>Dated at Washington, D.C. this 20th day of August, 2001.</w:t>
      </w:r>
    </w:p>
    <w:p>
      <w:pPr>
        <w:pStyle w:val="Normal"/>
        <w:tabs>
          <w:tab w:val="left" w:pos="0" w:leader="none"/>
          <w:tab w:val="left" w:pos="720" w:leader="none"/>
          <w:tab w:val="left" w:pos="144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7200" w:leader="none"/>
          <w:tab w:val="left" w:pos="7920" w:leader="none"/>
          <w:tab w:val="left" w:pos="8640" w:leader="none"/>
        </w:tabs>
        <w:jc w:val="both"/>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s>
        <w:ind w:firstLine="3600" w:end="0"/>
        <w:jc w:val="both"/>
        <w:rPr>
          <w:sz w:val="24"/>
        </w:rPr>
      </w:pPr>
      <w:r>
        <w:rPr>
          <w:sz w:val="24"/>
        </w:rPr>
        <w:t>___________________________________</w:t>
      </w:r>
    </w:p>
    <w:p>
      <w:pPr>
        <w:pStyle w:val="Normal"/>
        <w:tabs>
          <w:tab w:val="left" w:pos="0" w:leader="none"/>
          <w:tab w:val="left" w:pos="720" w:leader="none"/>
          <w:tab w:val="left" w:pos="1440" w:leader="none"/>
          <w:tab w:val="left" w:pos="2160" w:leader="none"/>
          <w:tab w:val="left" w:pos="2880" w:leader="none"/>
          <w:tab w:val="left" w:pos="3600" w:leader="none"/>
        </w:tabs>
        <w:ind w:firstLine="2160" w:end="0"/>
        <w:rPr>
          <w:sz w:val="24"/>
        </w:rPr>
      </w:pPr>
      <w:r>
        <w:rPr>
          <w:sz w:val="24"/>
        </w:rPr>
        <w:t xml:space="preserve">                                      </w:t>
      </w:r>
      <w:r>
        <w:rPr>
          <w:sz w:val="24"/>
        </w:rPr>
        <w:t>Kimberly A. Curry</w:t>
        <w:tab/>
      </w:r>
    </w:p>
    <w:p>
      <w:pPr>
        <w:pStyle w:val="Normal"/>
        <w:tabs>
          <w:tab w:val="left" w:pos="0" w:leader="none"/>
          <w:tab w:val="left" w:pos="720" w:leader="none"/>
          <w:tab w:val="left" w:pos="1440" w:leader="none"/>
          <w:tab w:val="left" w:pos="2160" w:leader="none"/>
          <w:tab w:val="left" w:pos="2880" w:leader="none"/>
          <w:tab w:val="left" w:pos="3600" w:leader="none"/>
        </w:tabs>
        <w:ind w:firstLine="720" w:end="0"/>
        <w:rPr>
          <w:sz w:val="24"/>
        </w:rPr>
      </w:pPr>
      <w:r>
        <w:rPr>
          <w:sz w:val="24"/>
        </w:rPr>
      </w:r>
    </w:p>
    <w:p>
      <w:pPr>
        <w:pStyle w:val="Normal"/>
        <w:tabs>
          <w:tab w:val="left" w:pos="0" w:leader="none"/>
          <w:tab w:val="left" w:pos="720" w:leader="none"/>
          <w:tab w:val="left" w:pos="1440" w:leader="none"/>
          <w:tab w:val="left" w:pos="2160" w:leader="none"/>
          <w:tab w:val="left" w:pos="2880" w:leader="none"/>
          <w:tab w:val="left" w:pos="3600" w:leader="none"/>
        </w:tabs>
        <w:ind w:firstLine="720" w:end="0"/>
        <w:rPr>
          <w:sz w:val="24"/>
        </w:rPr>
      </w:pPr>
      <w:r>
        <w:rPr>
          <w:sz w:val="24"/>
        </w:rPr>
      </w:r>
    </w:p>
    <w:sectPr>
      <w:footerReference w:type="default" r:id="rId3"/>
      <w:footerReference w:type="first" r:id="rId4"/>
      <w:footnotePr>
        <w:numFmt w:val="decimal"/>
      </w:footnotePr>
      <w:type w:val="nextPage"/>
      <w:pgSz w:w="12240" w:h="15840"/>
      <w:pgMar w:left="1440" w:right="1440" w:gutter="0" w:header="0" w:top="1440" w:footer="432" w:bottom="4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Baskerville Old Fac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jc w:val="both"/>
        <w:rPr/>
      </w:pPr>
      <w:r>
        <w:rPr>
          <w:rStyle w:val="FootnoteCharacters"/>
        </w:rPr>
        <w:footnoteRef/>
      </w:r>
      <w:r>
        <w:rPr>
          <w:i/>
          <w:iCs/>
          <w:sz w:val="22"/>
          <w:szCs w:val="22"/>
        </w:rPr>
        <w:t>See, e.g., GridSouth Transco, LLC, et al.</w:t>
      </w:r>
      <w:r>
        <w:rPr>
          <w:sz w:val="22"/>
          <w:szCs w:val="22"/>
        </w:rPr>
        <w:t xml:space="preserve">, 96 FERC ¶  61,067 at 61,287 (2001); </w:t>
      </w:r>
      <w:r>
        <w:rPr>
          <w:i/>
          <w:iCs/>
          <w:sz w:val="22"/>
          <w:szCs w:val="22"/>
        </w:rPr>
        <w:t>Southern Company Services, Inc.</w:t>
      </w:r>
      <w:r>
        <w:rPr>
          <w:sz w:val="22"/>
          <w:szCs w:val="22"/>
        </w:rPr>
        <w:t xml:space="preserve">, 96 FERC ¶  61,064 at 61,281 (2001); </w:t>
      </w:r>
      <w:r>
        <w:rPr>
          <w:i/>
          <w:iCs/>
          <w:sz w:val="22"/>
          <w:szCs w:val="22"/>
        </w:rPr>
        <w:t>Southwest Power Pool, et al.</w:t>
      </w:r>
      <w:r>
        <w:rPr>
          <w:sz w:val="22"/>
          <w:szCs w:val="22"/>
        </w:rPr>
        <w:t>, 96 FERC ¶  61,062 at 61,251 (2001)("The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w:t>
      </w:r>
    </w:p>
  </w:footnote>
  <w:footnote w:id="3">
    <w:p>
      <w:pPr>
        <w:pStyle w:val="Normal"/>
        <w:spacing w:before="0" w:after="240"/>
        <w:ind w:firstLine="720" w:end="0"/>
        <w:jc w:val="both"/>
        <w:rPr/>
      </w:pPr>
      <w:r>
        <w:rPr>
          <w:rStyle w:val="FootnoteCharacters"/>
        </w:rPr>
        <w:footnoteRef/>
      </w:r>
      <w:r>
        <w:rPr>
          <w:sz w:val="22"/>
          <w:szCs w:val="22"/>
        </w:rPr>
        <w:t>The Commission's refusal in the June 19 Order to allow marketers to recover justifiable costs above the cap further undervalues the willingness and capability of marketers to respond continuously to the needs of a changing market. If marketers are not able to justify a bid higher than the cap, they are essentially denied recovery of their costs and a fair return.  The inability of marketers to recover their actual costs above the cap under the June 19 Order is thus unfair and potentially confiscatory. An alternative  approach would be to allow marketers, upon application and justification to the Commission, to charge and recover appropriate rates for their services.</w:t>
      </w:r>
    </w:p>
  </w:footnote>
  <w:footnote w:id="4">
    <w:p>
      <w:pPr>
        <w:pStyle w:val="Normal"/>
        <w:ind w:firstLine="720" w:end="0"/>
        <w:jc w:val="both"/>
        <w:rPr/>
      </w:pPr>
      <w:r>
        <w:rPr>
          <w:rStyle w:val="FootnoteCharacters"/>
        </w:rPr>
        <w:footnoteRef/>
      </w:r>
      <w:r>
        <w:rPr>
          <w:sz w:val="22"/>
          <w:szCs w:val="22"/>
        </w:rPr>
        <w:t>The industry has also acknowledged that price caps are not the answer to California's power crisis.  The Center for the Advancement of Energy Markets noted in a recent report that the deregulation successes enjoyed by the natural gas industry was due in part to lighter-handed regulation , and questioned the use of price caps to solve California's power crisis.  In a report prepared by Boston Pacific Company that examined the trends in power prices over a 20 year period, it stated that risk management was more beneficial to consumers in the long run,</w:t>
      </w:r>
      <w:r>
        <w:rPr>
          <w:rFonts w:cs="Baskerville Old Face" w:ascii="Baskerville Old Face" w:hAnsi="Baskerville Old Face"/>
          <w:sz w:val="22"/>
          <w:szCs w:val="22"/>
        </w:rPr>
        <w:t xml:space="preserve"> and noted that price caps prevented California's utilities from practicing basic risk management.</w:t>
      </w:r>
    </w:p>
    <w:p>
      <w:pPr>
        <w:pStyle w:val="Normal"/>
        <w:spacing w:before="0" w:after="240"/>
        <w:ind w:firstLine="7200" w:end="0"/>
        <w:jc w:val="both"/>
        <w:rPr>
          <w:rFonts w:ascii="Baskerville Old Face" w:hAnsi="Baskerville Old Face" w:cs="Baskerville Old Face"/>
          <w:sz w:val="22"/>
          <w:szCs w:val="22"/>
        </w:rPr>
      </w:pPr>
      <w:r>
        <w:rPr>
          <w:rFonts w:cs="Baskerville Old Face" w:ascii="Baskerville Old Face" w:hAnsi="Baskerville Old Face"/>
          <w:sz w:val="22"/>
          <w:szCs w:val="22"/>
        </w:rPr>
      </w:r>
    </w:p>
  </w:footnote>
  <w:footnote w:id="5">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Style w:val="FootnoteCharacters"/>
        </w:rPr>
        <w:footnoteRef/>
      </w:r>
      <w:r>
        <w:rPr>
          <w:sz w:val="22"/>
          <w:szCs w:val="22"/>
        </w:rPr>
        <w:t xml:space="preserve">EPMI, Coral, and Exelon argued in their rehearing request of the June 19 Order that clarity was a significant consideration even in the day-of and day-ahead markets, because, market situations could change dramatically during the course of a day.  For example, the markets administered by the California Independent System Operator Corporation ("ISO") could go into reserve deficiency, which would alter the cap. </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sz w:val="26"/>
        <w:i/>
        <w:b/>
        <w:szCs w:val="26"/>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mirrorMargins/>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2z0">
    <w:name w:val="WW8Num2z0"/>
    <w:qFormat/>
    <w:rPr>
      <w:rFonts w:ascii="Times New Roman" w:hAnsi="Times New Roman" w:cs="Times New Roman"/>
      <w:b/>
      <w:i/>
      <w:sz w:val="26"/>
      <w:szCs w:val="26"/>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1Paragraph">
    <w:name w:val="1Paragraph"/>
    <w:basedOn w:val="Normal"/>
    <w:qFormat/>
    <w:pP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hanging="720" w:start="720" w:end="0"/>
    </w:pPr>
    <w:rPr>
      <w:sz w:val="24"/>
    </w:rPr>
  </w:style>
  <w:style w:type="paragraph" w:styleId="Level1">
    <w:name w:val="Level 1"/>
    <w:basedOn w:val="Normal"/>
    <w:qFormat/>
    <w:pPr>
      <w:numPr>
        <w:ilvl w:val="0"/>
        <w:numId w:val="1"/>
      </w:numPr>
      <w:tabs>
        <w:tab w:val="clear" w:pos="720"/>
      </w:tabs>
      <w:ind w:hanging="720" w:start="1440" w:end="0"/>
      <w:outlineLvl w:val="0"/>
    </w:pPr>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Footer">
    <w:name w:val="footer"/>
    <w:basedOn w:val="HeaderandFooter"/>
    <w:pPr>
      <w:suppressLineNumbers/>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notes" Target="footnote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2001-08-20T18:32:00Z</dcterms:created>
  <dc:creator>dperrino</dc:creator>
  <dc:description/>
  <dc:language>en-CA</dc:language>
  <cp:lastModifiedBy>dperrino</cp:lastModifiedBy>
  <dcterms:modified xsi:type="dcterms:W3CDTF">2001-08-20T18:32:00Z</dcterms:modified>
  <cp:revision>2</cp:revision>
  <dc:subject/>
  <dc:title>UNITED STATES OF AMERICA</dc:title>
</cp:coreProperties>
</file>