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b/>
          <w:sz w:val="24"/>
        </w:rPr>
      </w:pPr>
      <w:r>
        <w:rPr>
          <w:b/>
          <w:sz w:val="24"/>
        </w:rPr>
        <w:t>June 7, 2001</w:t>
      </w:r>
    </w:p>
    <w:p>
      <w:pPr>
        <w:pStyle w:val="Normal"/>
        <w:rPr>
          <w:b/>
          <w:sz w:val="24"/>
        </w:rPr>
      </w:pPr>
      <w:r>
        <w:rPr>
          <w:b/>
          <w:sz w:val="24"/>
        </w:rPr>
      </w:r>
    </w:p>
    <w:p>
      <w:pPr>
        <w:pStyle w:val="Normal"/>
        <w:rPr>
          <w:b/>
          <w:sz w:val="24"/>
        </w:rPr>
      </w:pPr>
      <w:r>
        <w:rPr>
          <w:b/>
          <w:sz w:val="24"/>
        </w:rPr>
        <w:t xml:space="preserve">TO:  </w:t>
        <w:tab/>
        <w:tab/>
        <w:t>NYMEX Crude Oil Advisory Committee</w:t>
      </w:r>
    </w:p>
    <w:p>
      <w:pPr>
        <w:pStyle w:val="Normal"/>
        <w:rPr>
          <w:b/>
          <w:sz w:val="24"/>
        </w:rPr>
      </w:pPr>
      <w:r>
        <w:rPr>
          <w:b/>
          <w:sz w:val="24"/>
        </w:rPr>
      </w:r>
    </w:p>
    <w:p>
      <w:pPr>
        <w:pStyle w:val="Normal"/>
        <w:rPr>
          <w:b/>
          <w:sz w:val="24"/>
        </w:rPr>
      </w:pPr>
      <w:r>
        <w:rPr>
          <w:b/>
          <w:sz w:val="24"/>
        </w:rPr>
        <w:t xml:space="preserve">FROM:  </w:t>
        <w:tab/>
        <w:t>Kevin McDonnell, Chairman</w:t>
      </w:r>
    </w:p>
    <w:p>
      <w:pPr>
        <w:pStyle w:val="Normal"/>
        <w:rPr>
          <w:b/>
          <w:sz w:val="24"/>
        </w:rPr>
      </w:pPr>
      <w:r>
        <w:rPr>
          <w:b/>
          <w:sz w:val="24"/>
        </w:rPr>
      </w:r>
    </w:p>
    <w:p>
      <w:pPr>
        <w:pStyle w:val="Normal"/>
        <w:rPr>
          <w:b/>
          <w:sz w:val="24"/>
        </w:rPr>
      </w:pPr>
      <w:r>
        <w:rPr>
          <w:b/>
          <w:sz w:val="24"/>
        </w:rPr>
        <w:t>SUBJECT:</w:t>
        <w:tab/>
        <w:t>Report on Brent Contract</w:t>
      </w:r>
    </w:p>
    <w:p>
      <w:pPr>
        <w:pStyle w:val="Normal"/>
        <w:rPr>
          <w:sz w:val="24"/>
        </w:rPr>
      </w:pPr>
      <w:r>
        <w:rPr>
          <w:b/>
          <w:sz w:val="24"/>
        </w:rPr>
        <w:t>______________________________________________________________________________</w:t>
      </w:r>
    </w:p>
    <w:p>
      <w:pPr>
        <w:pStyle w:val="Normal"/>
        <w:jc w:val="both"/>
        <w:rPr>
          <w:sz w:val="24"/>
        </w:rPr>
      </w:pPr>
      <w:r>
        <w:rPr>
          <w:sz w:val="24"/>
        </w:rPr>
      </w:r>
    </w:p>
    <w:p>
      <w:pPr>
        <w:pStyle w:val="Normal"/>
        <w:jc w:val="both"/>
        <w:rPr>
          <w:sz w:val="24"/>
        </w:rPr>
      </w:pPr>
      <w:r>
        <w:rPr>
          <w:sz w:val="24"/>
        </w:rPr>
        <w:t>The NYMEX Board of Directors met last night and approved the terms and conditions of the Brent contract, as recommended by the Advisory Committee.</w:t>
      </w:r>
    </w:p>
    <w:p>
      <w:pPr>
        <w:pStyle w:val="Normal"/>
        <w:jc w:val="both"/>
        <w:rPr>
          <w:sz w:val="24"/>
        </w:rPr>
      </w:pPr>
      <w:r>
        <w:rPr>
          <w:sz w:val="24"/>
        </w:rPr>
      </w:r>
    </w:p>
    <w:p>
      <w:pPr>
        <w:pStyle w:val="Normal"/>
        <w:jc w:val="both"/>
        <w:rPr>
          <w:sz w:val="24"/>
        </w:rPr>
      </w:pPr>
      <w:r>
        <w:rPr>
          <w:sz w:val="24"/>
        </w:rPr>
        <w:t>Specifically, the NYMEX Board approved the following:</w:t>
      </w:r>
    </w:p>
    <w:p>
      <w:pPr>
        <w:pStyle w:val="Normal"/>
        <w:jc w:val="both"/>
        <w:rPr>
          <w:sz w:val="24"/>
        </w:rPr>
      </w:pPr>
      <w:r>
        <w:rPr>
          <w:sz w:val="24"/>
        </w:rPr>
      </w:r>
    </w:p>
    <w:p>
      <w:pPr>
        <w:pStyle w:val="Normal"/>
        <w:numPr>
          <w:ilvl w:val="0"/>
          <w:numId w:val="2"/>
        </w:numPr>
        <w:jc w:val="both"/>
        <w:rPr>
          <w:sz w:val="24"/>
        </w:rPr>
      </w:pPr>
      <w:r>
        <w:rPr>
          <w:sz w:val="24"/>
        </w:rPr>
        <w:t>The last day’s settlement period will encompass the entire NYMEX trading hours for Brent, with a proviso that this be re-evaluated in 6 months, or sooner, if necessary;</w:t>
      </w:r>
    </w:p>
    <w:p>
      <w:pPr>
        <w:pStyle w:val="Normal"/>
        <w:jc w:val="both"/>
        <w:rPr>
          <w:sz w:val="24"/>
        </w:rPr>
      </w:pPr>
      <w:r>
        <w:rPr>
          <w:sz w:val="24"/>
        </w:rPr>
      </w:r>
    </w:p>
    <w:p>
      <w:pPr>
        <w:pStyle w:val="Normal"/>
        <w:numPr>
          <w:ilvl w:val="0"/>
          <w:numId w:val="2"/>
        </w:numPr>
        <w:jc w:val="both"/>
        <w:rPr>
          <w:sz w:val="24"/>
        </w:rPr>
      </w:pPr>
      <w:r>
        <w:rPr>
          <w:sz w:val="24"/>
        </w:rPr>
        <w:t>Maintain the existing opening hours for WTI, and open Brent earlier by 10 to 15 minutes, with the proviso that this be re-evaluated in 6 months, or sooner, if necessary.  The same closing time of 3:10 p.m. will apply for both Brent and WTI;</w:t>
      </w:r>
    </w:p>
    <w:p>
      <w:pPr>
        <w:pStyle w:val="Normal"/>
        <w:jc w:val="both"/>
        <w:rPr>
          <w:sz w:val="24"/>
        </w:rPr>
      </w:pPr>
      <w:r>
        <w:rPr>
          <w:sz w:val="24"/>
        </w:rPr>
      </w:r>
    </w:p>
    <w:p>
      <w:pPr>
        <w:pStyle w:val="Normal"/>
        <w:numPr>
          <w:ilvl w:val="0"/>
          <w:numId w:val="2"/>
        </w:numPr>
        <w:jc w:val="both"/>
        <w:rPr>
          <w:sz w:val="24"/>
        </w:rPr>
      </w:pPr>
      <w:r>
        <w:rPr>
          <w:sz w:val="24"/>
        </w:rPr>
        <w:t xml:space="preserve">Allow EFS in Brent; </w:t>
      </w:r>
    </w:p>
    <w:p>
      <w:pPr>
        <w:pStyle w:val="Normal"/>
        <w:jc w:val="both"/>
        <w:rPr>
          <w:sz w:val="24"/>
        </w:rPr>
      </w:pPr>
      <w:r>
        <w:rPr>
          <w:sz w:val="24"/>
        </w:rPr>
      </w:r>
    </w:p>
    <w:p>
      <w:pPr>
        <w:pStyle w:val="Normal"/>
        <w:numPr>
          <w:ilvl w:val="0"/>
          <w:numId w:val="2"/>
        </w:numPr>
        <w:jc w:val="both"/>
        <w:rPr>
          <w:sz w:val="24"/>
        </w:rPr>
      </w:pPr>
      <w:r>
        <w:rPr>
          <w:sz w:val="24"/>
        </w:rPr>
        <w:t>Implement TAS in the spot month and in the second month during the last 5 trading days of the front month contract;</w:t>
      </w:r>
    </w:p>
    <w:p>
      <w:pPr>
        <w:pStyle w:val="Normal"/>
        <w:jc w:val="both"/>
        <w:rPr>
          <w:sz w:val="24"/>
        </w:rPr>
      </w:pPr>
      <w:r>
        <w:rPr>
          <w:sz w:val="24"/>
        </w:rPr>
      </w:r>
    </w:p>
    <w:p>
      <w:pPr>
        <w:pStyle w:val="Heading7"/>
        <w:ind w:hanging="0" w:start="0"/>
        <w:rPr>
          <w:spacing w:val="0"/>
        </w:rPr>
      </w:pPr>
      <w:r>
        <w:rPr>
          <w:spacing w:val="0"/>
        </w:rPr>
        <w:t>Additional Input</w:t>
      </w:r>
    </w:p>
    <w:p>
      <w:pPr>
        <w:pStyle w:val="Normal"/>
        <w:jc w:val="both"/>
        <w:rPr>
          <w:sz w:val="24"/>
        </w:rPr>
      </w:pPr>
      <w:r>
        <w:rPr>
          <w:sz w:val="24"/>
        </w:rPr>
        <w:t>The Committee members conveyed that they thought trading Brent on ACCESS in the early morning would be adequate.  However, there were questions about the European community’s ability to trade ACCESS.  The Exchange is currently developing a web-based ACCESS system to expand the capability of overnight trading, and if it can be ready by late August, the Board is considering whether to coincide the Brent launch with the upgraded ACCESS system.  If the new ACCESS system is delayed, the NYMEX Board is prepared to launch earlier.</w:t>
      </w:r>
    </w:p>
    <w:p>
      <w:pPr>
        <w:pStyle w:val="Normal"/>
        <w:jc w:val="both"/>
        <w:rPr>
          <w:sz w:val="24"/>
        </w:rPr>
      </w:pPr>
      <w:r>
        <w:rPr>
          <w:sz w:val="24"/>
        </w:rPr>
      </w:r>
    </w:p>
    <w:p>
      <w:pPr>
        <w:pStyle w:val="Normal"/>
        <w:jc w:val="both"/>
        <w:rPr/>
      </w:pPr>
      <w:r>
        <w:rPr>
          <w:sz w:val="24"/>
        </w:rPr>
        <w:t xml:space="preserve">I would welcome your thoughts and comments on this.  Please feel free to send me your reply via email to </w:t>
      </w:r>
      <w:hyperlink r:id="rId2">
        <w:r>
          <w:rPr>
            <w:rStyle w:val="Hyperlink"/>
          </w:rPr>
          <w:t>mcdonnellc@aol.com</w:t>
        </w:r>
      </w:hyperlink>
      <w:r>
        <w:rPr>
          <w:sz w:val="24"/>
        </w:rPr>
        <w:t xml:space="preserve">  or (212) 590-1269, or contact Dan Brusstar at (212) 299-2604.  We will also follow-up next week with more details on the final settlement index formula.</w:t>
      </w:r>
    </w:p>
    <w:p>
      <w:pPr>
        <w:pStyle w:val="Normal"/>
        <w:jc w:val="both"/>
        <w:rPr>
          <w:sz w:val="24"/>
        </w:rPr>
      </w:pPr>
      <w:r>
        <w:rPr>
          <w:sz w:val="24"/>
        </w:rPr>
      </w:r>
    </w:p>
    <w:p>
      <w:pPr>
        <w:pStyle w:val="Normal"/>
        <w:jc w:val="both"/>
        <w:rPr>
          <w:sz w:val="24"/>
        </w:rPr>
      </w:pPr>
      <w:r>
        <w:rPr>
          <w:sz w:val="24"/>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2"/>
    <w:family w:val="auto"/>
    <w:pitch w:val="variable"/>
  </w:font>
  <w:font w:name="Arial Black">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outlineLvl w:val="2"/>
    </w:pPr>
    <w:rPr>
      <w:rFonts w:ascii="Arial" w:hAnsi="Arial" w:cs="Arial"/>
      <w:b/>
      <w:color w:val="000000"/>
      <w:u w:val="single"/>
      <w:lang w:eastAsia="en-US"/>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jc w:val="both"/>
      <w:outlineLvl w:val="4"/>
    </w:pPr>
    <w:rPr>
      <w:sz w:val="24"/>
    </w:rPr>
  </w:style>
  <w:style w:type="paragraph" w:styleId="Heading7">
    <w:name w:val="heading 7"/>
    <w:basedOn w:val="Normal"/>
    <w:next w:val="Normal"/>
    <w:qFormat/>
    <w:pPr>
      <w:keepNext w:val="true"/>
      <w:numPr>
        <w:ilvl w:val="6"/>
        <w:numId w:val="1"/>
      </w:numPr>
      <w:jc w:val="both"/>
      <w:outlineLvl w:val="6"/>
    </w:pPr>
    <w:rPr>
      <w:b/>
      <w:spacing w:val="-5"/>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b/>
      <w:u w:val="single"/>
    </w:rPr>
  </w:style>
  <w:style w:type="character" w:styleId="WW8Num57z0">
    <w:name w:val="WW8Num57z0"/>
    <w:qFormat/>
    <w:rPr>
      <w:b/>
      <w:u w:val="single"/>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2z0">
    <w:name w:val="WW8Num62z0"/>
    <w:qFormat/>
    <w:rPr>
      <w:b/>
      <w:u w:val="single"/>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b/>
      <w:u w:val="single"/>
    </w:rPr>
  </w:style>
  <w:style w:type="character" w:styleId="WW8Num67z0">
    <w:name w:val="WW8Num67z0"/>
    <w:qFormat/>
    <w:rPr/>
  </w:style>
  <w:style w:type="character" w:styleId="WW8Num68z0">
    <w:name w:val="WW8Num68z0"/>
    <w:qFormat/>
    <w:rPr>
      <w:b/>
      <w:u w:val="single"/>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St11z0">
    <w:name w:val="WW8NumSt11z0"/>
    <w:qFormat/>
    <w:rPr>
      <w:rFonts w:ascii="WP TypographicSymbols" w:hAnsi="WP TypographicSymbols" w:cs="WP TypographicSymbols"/>
    </w:rPr>
  </w:style>
  <w:style w:type="character" w:styleId="DefaultParagraphFont">
    <w:name w:val="Default Paragraph Font"/>
    <w:qFormat/>
    <w:rPr/>
  </w:style>
  <w:style w:type="character" w:styleId="PageNumber">
    <w:name w:val="page number"/>
    <w:basedOn w:val="DefaultParagraphFont"/>
    <w:rPr/>
  </w:style>
  <w:style w:type="character" w:styleId="MessageHeaderLabel">
    <w:name w:val="Message Header Label"/>
    <w:qFormat/>
    <w:rPr>
      <w:rFonts w:ascii="Arial Black" w:hAnsi="Arial Black" w:cs="Arial Black"/>
      <w:spacing w:val="-10"/>
      <w:sz w:val="18"/>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32"/>
    </w:rPr>
  </w:style>
  <w:style w:type="paragraph" w:styleId="BodyText">
    <w:name w:val="Body Text"/>
    <w:basedOn w:val="Normal"/>
    <w:pPr>
      <w:widowControl w:val="false"/>
      <w:jc w:val="both"/>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MessageHeader">
    <w:name w:val="Message Header"/>
    <w:basedOn w:val="BodyText"/>
    <w:qFormat/>
    <w:pPr>
      <w:keepLines/>
      <w:widowControl/>
      <w:spacing w:lineRule="atLeast" w:line="180" w:before="0" w:after="120"/>
      <w:ind w:hanging="720" w:start="720" w:end="0"/>
      <w:jc w:val="start"/>
    </w:pPr>
    <w:rPr>
      <w:rFonts w:ascii="Arial" w:hAnsi="Arial" w:cs="Arial"/>
      <w:spacing w:val="-5"/>
      <w:sz w:val="20"/>
      <w:lang w:eastAsia="en-CA"/>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Style8">
    <w:name w:val="_"/>
    <w:basedOn w:val="Normal"/>
    <w:qFormat/>
    <w:pPr>
      <w:widowControl w:val="false"/>
      <w:ind w:hanging="720" w:start="720" w:end="0"/>
    </w:pPr>
    <w:rPr>
      <w:rFonts w:ascii="Courier New" w:hAnsi="Courier New" w:cs="Courier New"/>
      <w:sz w:val="24"/>
      <w:lang w:eastAsia="en-US"/>
    </w:rPr>
  </w:style>
  <w:style w:type="paragraph" w:styleId="BodyTextIndent">
    <w:name w:val="Body Text Indent"/>
    <w:basedOn w:val="Normal"/>
    <w:pPr>
      <w:ind w:hanging="1440" w:start="1440" w:end="0"/>
      <w:jc w:val="both"/>
    </w:pPr>
    <w:rPr>
      <w:sz w:val="24"/>
    </w:rPr>
  </w:style>
  <w:style w:type="paragraph" w:styleId="BodyText2">
    <w:name w:val="Body Text 2"/>
    <w:basedOn w:val="Normal"/>
    <w:qFormat/>
    <w:pPr>
      <w:jc w:val="both"/>
    </w:pPr>
    <w:rPr>
      <w:spacing w:val="-5"/>
      <w:sz w:val="24"/>
    </w:rPr>
  </w:style>
  <w:style w:type="paragraph" w:styleId="BodyTextIndent3">
    <w:name w:val="Body Text Indent 3"/>
    <w:basedOn w:val="Normal"/>
    <w:qFormat/>
    <w:pPr>
      <w:ind w:hanging="720" w:start="288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cdonnellc@aol.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2001-06-07T13:54:00Z</dcterms:created>
  <dc:creator>MIS</dc:creator>
  <dc:description/>
  <dc:language>en-CA</dc:language>
  <cp:lastModifiedBy>dbrusstar</cp:lastModifiedBy>
  <cp:lastPrinted>2001-06-07T17:11:00Z</cp:lastPrinted>
  <dcterms:modified xsi:type="dcterms:W3CDTF">2001-06-07T18:58:00Z</dcterms:modified>
  <cp:revision>13</cp:revision>
  <dc:subject/>
  <dc:title>January 8, 1999</dc:title>
</cp:coreProperties>
</file>