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824" w:leader="none"/>
        </w:tabs>
        <w:jc w:val="both"/>
        <w:rPr>
          <w:rFonts w:ascii="Arial" w:hAnsi="Arial" w:cs="Arial"/>
        </w:rPr>
      </w:pPr>
      <w:r>
        <w:rPr>
          <w:rFonts w:cs="Arial" w:ascii="Arial" w:hAnsi="Arial"/>
        </w:rPr>
      </w:r>
    </w:p>
    <w:p>
      <w:pPr>
        <w:pStyle w:val="Normal"/>
        <w:tabs>
          <w:tab w:val="clear" w:pos="720"/>
          <w:tab w:val="center" w:pos="4824" w:leader="none"/>
        </w:tabs>
        <w:jc w:val="both"/>
        <w:rPr>
          <w:rFonts w:ascii="Arial" w:hAnsi="Arial" w:cs="Arial"/>
        </w:rPr>
      </w:pPr>
      <w:r>
        <w:rPr>
          <w:rFonts w:cs="Arial" w:ascii="Arial" w:hAnsi="Arial"/>
        </w:rPr>
        <w:tab/>
      </w:r>
      <w:r>
        <w:rPr>
          <w:rFonts w:cs="Arial" w:ascii="Arial" w:hAnsi="Arial"/>
          <w:u w:val="single"/>
        </w:rPr>
        <w:t>NATURAL GAS SALES AGREEMENT</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THIS AGREEMENT, made and entered into this 1st day of August, 1997 by and between U. S. Steel Group, a unit of USX Corporation (hereinafter "Buyer") and XXXXX (hereinafter "Seller").</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center" w:pos="4824" w:leader="none"/>
        </w:tabs>
        <w:jc w:val="both"/>
        <w:rPr>
          <w:rFonts w:ascii="Arial" w:hAnsi="Arial" w:cs="Arial"/>
        </w:rPr>
      </w:pPr>
      <w:r>
        <w:rPr>
          <w:rFonts w:cs="Arial" w:ascii="Arial" w:hAnsi="Arial"/>
        </w:rPr>
        <w:tab/>
      </w:r>
      <w:r>
        <w:rPr>
          <w:rFonts w:cs="Arial" w:ascii="Arial" w:hAnsi="Arial"/>
          <w:u w:val="single"/>
        </w:rPr>
        <w:t>W</w:t>
      </w:r>
      <w:r>
        <w:rPr>
          <w:rFonts w:cs="Arial" w:ascii="Arial" w:hAnsi="Arial"/>
        </w:rPr>
        <w:t xml:space="preserve"> </w:t>
      </w:r>
      <w:r>
        <w:rPr>
          <w:rFonts w:cs="Arial" w:ascii="Arial" w:hAnsi="Arial"/>
          <w:u w:val="single"/>
        </w:rPr>
        <w:t>I</w:t>
      </w:r>
      <w:r>
        <w:rPr>
          <w:rFonts w:cs="Arial" w:ascii="Arial" w:hAnsi="Arial"/>
        </w:rPr>
        <w:t xml:space="preserve"> </w:t>
      </w:r>
      <w:r>
        <w:rPr>
          <w:rFonts w:cs="Arial" w:ascii="Arial" w:hAnsi="Arial"/>
          <w:u w:val="single"/>
        </w:rPr>
        <w:t>T</w:t>
      </w:r>
      <w:r>
        <w:rPr>
          <w:rFonts w:cs="Arial" w:ascii="Arial" w:hAnsi="Arial"/>
        </w:rPr>
        <w:t xml:space="preserve"> </w:t>
      </w:r>
      <w:r>
        <w:rPr>
          <w:rFonts w:cs="Arial" w:ascii="Arial" w:hAnsi="Arial"/>
          <w:u w:val="single"/>
        </w:rPr>
        <w:t>N</w:t>
      </w:r>
      <w:r>
        <w:rPr>
          <w:rFonts w:cs="Arial" w:ascii="Arial" w:hAnsi="Arial"/>
        </w:rPr>
        <w:t xml:space="preserve"> </w:t>
      </w:r>
      <w:r>
        <w:rPr>
          <w:rFonts w:cs="Arial" w:ascii="Arial" w:hAnsi="Arial"/>
          <w:u w:val="single"/>
        </w:rPr>
        <w:t>E</w:t>
      </w:r>
      <w:r>
        <w:rPr>
          <w:rFonts w:cs="Arial" w:ascii="Arial" w:hAnsi="Arial"/>
        </w:rPr>
        <w:t xml:space="preserve"> </w:t>
      </w:r>
      <w:r>
        <w:rPr>
          <w:rFonts w:cs="Arial" w:ascii="Arial" w:hAnsi="Arial"/>
          <w:u w:val="single"/>
        </w:rPr>
        <w:t>S</w:t>
      </w:r>
      <w:r>
        <w:rPr>
          <w:rFonts w:cs="Arial" w:ascii="Arial" w:hAnsi="Arial"/>
        </w:rPr>
        <w:t xml:space="preserve"> </w:t>
      </w:r>
      <w:r>
        <w:rPr>
          <w:rFonts w:cs="Arial" w:ascii="Arial" w:hAnsi="Arial"/>
          <w:u w:val="single"/>
        </w:rPr>
        <w:t>S</w:t>
      </w:r>
      <w:r>
        <w:rPr>
          <w:rFonts w:cs="Arial" w:ascii="Arial" w:hAnsi="Arial"/>
        </w:rPr>
        <w:t xml:space="preserve"> </w:t>
      </w:r>
      <w:r>
        <w:rPr>
          <w:rFonts w:cs="Arial" w:ascii="Arial" w:hAnsi="Arial"/>
          <w:u w:val="single"/>
        </w:rPr>
        <w:t>E</w:t>
      </w:r>
      <w:r>
        <w:rPr>
          <w:rFonts w:cs="Arial" w:ascii="Arial" w:hAnsi="Arial"/>
        </w:rPr>
        <w:t xml:space="preserve"> </w:t>
      </w:r>
      <w:r>
        <w:rPr>
          <w:rFonts w:cs="Arial" w:ascii="Arial" w:hAnsi="Arial"/>
          <w:u w:val="single"/>
        </w:rPr>
        <w:t>T</w:t>
      </w:r>
      <w:r>
        <w:rPr>
          <w:rFonts w:cs="Arial" w:ascii="Arial" w:hAnsi="Arial"/>
        </w:rPr>
        <w:t xml:space="preserve"> </w:t>
      </w:r>
      <w:r>
        <w:rPr>
          <w:rFonts w:cs="Arial" w:ascii="Arial" w:hAnsi="Arial"/>
          <w:u w:val="single"/>
        </w:rPr>
        <w:t>H</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WHEREAS, Seller desires to sell and deliver certain quantities of natural gas to Buyer, at the xxxx (hereinafter “The Pipeline”) Receipt Point(s), either primary or secondary (hereinafter specified in Exhibit “A”); and</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WHEREAS, Buyer desires to purchase such gas from Seller; and</w:t>
      </w:r>
    </w:p>
    <w:p>
      <w:pPr>
        <w:pStyle w:val="Normal"/>
        <w:tabs>
          <w:tab w:val="clear" w:pos="720"/>
          <w:tab w:val="left" w:pos="-720" w:leader="none"/>
        </w:tabs>
        <w:jc w:val="both"/>
        <w:rPr>
          <w:rFonts w:ascii="Arial" w:hAnsi="Arial" w:cs="Arial"/>
        </w:rPr>
      </w:pPr>
      <w:r>
        <w:rPr>
          <w:rFonts w:cs="Arial" w:ascii="Arial" w:hAnsi="Arial"/>
        </w:rPr>
        <w:tab/>
      </w:r>
    </w:p>
    <w:p>
      <w:pPr>
        <w:pStyle w:val="Normal"/>
        <w:tabs>
          <w:tab w:val="clear" w:pos="720"/>
          <w:tab w:val="left" w:pos="-720" w:leader="none"/>
        </w:tabs>
        <w:jc w:val="both"/>
        <w:rPr>
          <w:rFonts w:ascii="Arial" w:hAnsi="Arial" w:cs="Arial"/>
        </w:rPr>
      </w:pPr>
      <w:r>
        <w:rPr>
          <w:rFonts w:cs="Arial" w:ascii="Arial" w:hAnsi="Arial"/>
        </w:rPr>
        <w:tab/>
        <w:t>WHEREAS, Buyer and Seller desire to set forth herein the terms and conditions which shall apply to the purchase and sale of such gas.</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NOW, THEREFORE, for good and valuable consideration, the receipt and sufficiency of which is hereby acknowledged, the parties hereto hereby agree as follows.</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center" w:pos="4824" w:leader="none"/>
        </w:tabs>
        <w:rPr>
          <w:rFonts w:ascii="Arial" w:hAnsi="Arial" w:cs="Arial"/>
        </w:rPr>
      </w:pPr>
      <w:r>
        <w:rPr>
          <w:rFonts w:cs="Arial" w:ascii="Arial" w:hAnsi="Arial"/>
        </w:rPr>
        <w:tab/>
      </w:r>
      <w:r>
        <w:rPr>
          <w:rFonts w:cs="Arial" w:ascii="Arial" w:hAnsi="Arial"/>
          <w:u w:val="single"/>
        </w:rPr>
        <w:t xml:space="preserve">ARTICLE I </w:t>
        <w:noBreakHyphen/>
        <w:t xml:space="preserve"> QUANTITY</w:t>
      </w:r>
    </w:p>
    <w:p>
      <w:pPr>
        <w:pStyle w:val="Normal"/>
        <w:tabs>
          <w:tab w:val="clear" w:pos="720"/>
          <w:tab w:val="left" w:pos="-720" w:leader="none"/>
        </w:tabs>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1.1</w:t>
        <w:tab/>
        <w:t>Seller shall tender into The Pipeline at each  primary receipt point(s) listed on the attached Exhibit "A" and/or The Pipeline secondary receipt point(s) - when allowed -  listed on the attached Exhibit "A", at least the Minimum Daily Quantity ("MDQ"), which shall be the total quantity indicated on Exhibit "A".  Buyer agrees to purchase at a uniform daily rate all quantities delivered hereunder, but in no event at a daily rate less than the Minimum Daily Quantity.</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 xml:space="preserve">1.2 </w:t>
        <w:tab/>
        <w:t>Buyer agrees to purchase and receive, or if not taken to pay for pursuant to the provisions of Articles III herein, a minimum monthly quantity of gas ("Minimum Contract Quantity") equal to the number of days in each month multiplied by the total quantity indicated on Exhibit "A", plus fuel as specified by The Pipeline, for the term of this agreement as detailed in ARTICLE IV.  If on any day however, Seller fails to deliver the MDQ at the primary receipt point, Seller will use its best efforts to provide the curtailed volume not to exceed the total quantity indicated on Exhibit "A", plus fuel as specified by The Pipeline at the time of delivery, at each of the secondary receipt points listed on Exhibit "A".  Such best efforts shall include, but not be limited to, the curtailment of interruptible sales to third parties.  To the extent Seller is unable to supply the Minimum Daily Quantity, plus fuel as specified by The Pipeline at the time of delivery, then Buyer shall be deemed to have purchased and taken the Minimum Daily Quantity for that day, provided that Buyer was able to purchase and take the MDQ hereunder on such day.</w:t>
        <w:tab/>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 xml:space="preserve">1.3 </w:t>
        <w:tab/>
        <w:t>If on any day Seller fails, due to reasons other than force majeure, to deliver the Minimum Daily Quantity hereunder, and Buyer purchases an alternate energy supply due to Seller's non</w:t>
        <w:noBreakHyphen/>
        <w:t>performance, then Seller shall reimburse Buyer for all incremental costs of such replacement energy.  Both Buyer and Seller shall use all reasonable efforts to minimize this incremental cost. This payment shall be Buyer's sole and exclusive remedy with respect to Seller's failure to deliver where Buyer purchases replacement energy.</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 xml:space="preserve">1.4 </w:t>
        <w:tab/>
        <w:t>If on any day Seller fails, due to reasons other than force majeure, to deliver the Minimum Daily Quantity hereunder, and due to the unavailability of replacement energy such failure causes Buyer to curtail and/or alter its operations in any fashion, then the parties agree that the precise damages sustained by Buyer in such situation would be difficult, if not impossible to determine and, as a result, the parties agree that for any such breach, Seller shall pay Buyer, as liquidated damages, and not as penalty, the higher of $25.00 per MMBTU or such amount per MMBTU as is charged to Buyer by Buyer’s Local Distribution Company (LDC) for each MMBTU less than the Minimum Daily Quantity which it failed to deliver.  In the event that liquidated damages under Article 1.4 are paid, this shall constitute Buyer's sole and exclusive remedy for any damages resulting from Seller's failure to deliver any quantity of gas nominated by Buyer pursuant to this Agreement and Seller shall not, under any circumstances whatsoever, be liable to Buyer for any other costs, charges, expenses, losses or damages of any nature or kind whatsoever whether direct or indirect, foreseeable or not foreseeable, consequential or inconsequential and incurred by Buyer, any affiliate of Buyer or any other person arising from or in any way attributable to or suffered as a result of Seller's failure to deliver gas pursuant to the terms of this Agreement, nor will Seller be responsible for any costs associated with replacement supplies of energy as specified in Article 1.3.</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 xml:space="preserve">1.5 </w:t>
        <w:tab/>
        <w:t>If Supplier is unable for any reason, including Force Majeure, to deliver gas to any primary delivery point, Supplier shall use best efforts to maintain deliveries to Buyer through secondary points. Such efforts shall include, but not limited to curtailing interruptible service and and utlizing other transportation available to the Seller.</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center" w:pos="4824" w:leader="none"/>
        </w:tabs>
        <w:jc w:val="both"/>
        <w:rPr>
          <w:rFonts w:ascii="Arial" w:hAnsi="Arial" w:cs="Arial"/>
        </w:rPr>
      </w:pPr>
      <w:r>
        <w:rPr>
          <w:rFonts w:cs="Arial" w:ascii="Arial" w:hAnsi="Arial"/>
        </w:rPr>
        <w:tab/>
      </w:r>
      <w:r>
        <w:rPr>
          <w:rFonts w:cs="Arial" w:ascii="Arial" w:hAnsi="Arial"/>
          <w:u w:val="single"/>
        </w:rPr>
        <w:t xml:space="preserve">ARTICLE II </w:t>
        <w:noBreakHyphen/>
        <w:t xml:space="preserve"> POINT OF DELIVERY</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 xml:space="preserve">2.1 </w:t>
        <w:tab/>
        <w:t>Gas shall be delivered and purchased by Buyer at the Pipeline Primary and/or Secondary Receipt Points shown in Exhibits "A" as may be amended from time to time.  As between the parties hereto, Seller shall be in control and possession of the gas and responsible for any loss, damage and/or injury occurring until same shall have been delivered to Buyer or third parties for the account of Buyer at the Pipeline Primary and/or Secondary Receipt Points shown in Exhibit "A" , after which delivery Buyer shall be deemed to be in exclusive control and possession thereof and responsible for any loss, damage and/or injury caused thereby.  Title to all gas sold hereunder shall pass from Seller to Buyer at the Pipeline Primary and/or Secondary Receipt Points.</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 xml:space="preserve">2.2 </w:t>
        <w:tab/>
        <w:t>Buyer shall notify Seller in writing at least (twenty-four) 24 hours before The Pipeline’s monthly nomination deadline if the monthly nomination does not correspond to the Minimum Daily Quantity, plus appropriate fuel.  Buyer shall be responsible for all normal communications and correspondence with The Pipeline dealing with natural gas transportation under this Agreement.  Seller shall be responsible for the communication expected or required by The Pipeline from a Seller.</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center" w:pos="4824" w:leader="none"/>
        </w:tabs>
        <w:jc w:val="both"/>
        <w:rPr>
          <w:rFonts w:ascii="Arial" w:hAnsi="Arial" w:cs="Arial"/>
        </w:rPr>
      </w:pPr>
      <w:r>
        <w:rPr>
          <w:rFonts w:cs="Arial" w:ascii="Arial" w:hAnsi="Arial"/>
        </w:rPr>
        <w:tab/>
      </w:r>
      <w:r>
        <w:rPr>
          <w:rFonts w:cs="Arial" w:ascii="Arial" w:hAnsi="Arial"/>
          <w:u w:val="single"/>
        </w:rPr>
        <w:t xml:space="preserve">ARTICLE III </w:t>
        <w:noBreakHyphen/>
        <w:t xml:space="preserve"> PRICE</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3.1</w:t>
        <w:tab/>
        <w:t>Gas Sales Price - The gas sales price (in $/MMBTU, dry) shall be determined by reference to INSIDE FERC'S GAS MARKET REPORT from the INSIDE FERC table for the month of delivery titled "Prices of Spot Gas Delivered to Pipelines, (Month) 1" under the headings "INDEX".</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The specific price calculations referred to above will hereinafter be referred to collectively as Index.  INSIDE FERC'S GAS MARKET REPORT is published on a bimonthly basis with the issue containing this information typically being published early in the month.</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For the quantities with primary receipt points in The Pipeline's xxxxx Zone:</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 xml:space="preserve">xxxxx Pipeline Company xxxxx Zone Index </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 w:val="left" w:pos="0" w:leader="none"/>
        </w:tabs>
        <w:ind w:end="18"/>
        <w:jc w:val="both"/>
        <w:rPr>
          <w:rFonts w:ascii="Arial" w:hAnsi="Arial" w:cs="Arial"/>
        </w:rPr>
      </w:pPr>
      <w:r>
        <w:rPr>
          <w:rFonts w:cs="Arial" w:ascii="Arial" w:hAnsi="Arial"/>
        </w:rPr>
        <w:t>In any issue where the subject indices are qualified because of insufficient price reports obtained to develop the Index, Buyer and Seller will agree to use the data from the next issue.</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 w:val="left" w:pos="0" w:leader="none"/>
        </w:tabs>
        <w:ind w:end="18"/>
        <w:jc w:val="both"/>
        <w:rPr>
          <w:rFonts w:ascii="Arial" w:hAnsi="Arial" w:cs="Arial"/>
        </w:rPr>
      </w:pPr>
      <w:r>
        <w:rPr>
          <w:rFonts w:cs="Arial" w:ascii="Arial" w:hAnsi="Arial"/>
        </w:rPr>
        <w:tab/>
        <w:t>If INSIDE FERC'S GAS MARKET REPORT ceases to publish a prices under the above described headings, Seller shall propose in writing an alternative index based method of determining the price for natural gas sold in the spot market.  Should Buyer believe that the alternative method proposed by Seller is not appropriate, Buyer may propose in writing an alternative method within ten (10) days of receipt of Seller's proposal.  Should Buyer fail to propose an alternative method within such period of time, the method proposed by Seller shall thereafter be utilized in determining the indexed price.</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 w:val="left" w:pos="0" w:leader="none"/>
        </w:tabs>
        <w:ind w:end="18"/>
        <w:jc w:val="both"/>
        <w:rPr>
          <w:rFonts w:ascii="Arial" w:hAnsi="Arial" w:cs="Arial"/>
        </w:rPr>
      </w:pPr>
      <w:r>
        <w:rPr>
          <w:rFonts w:cs="Arial" w:ascii="Arial" w:hAnsi="Arial"/>
        </w:rPr>
        <w:t>Should Buyer propose an alternative method different from Seller's proposal, Buyer and Seller shall meet and seek to agree upon an alternative method.  Should Seller and Buyer be unable to reach agreement within thirty (30) days of Seller's receipt of Buyer's proposal, either party may thereafter terminate this Contract upon the 30th day of the price negotiations.</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Such alternative method as agreed upon by Buyer and Seller shall be utilized until such methods may become impracticable to utilize, in which case either party may propose an alternative under this paragraph.  The price for gas delivered during such period of negotiations shall be the previously calculated price last in effect.</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center" w:pos="4824" w:leader="none"/>
        </w:tabs>
        <w:jc w:val="both"/>
        <w:rPr>
          <w:rFonts w:ascii="Arial" w:hAnsi="Arial" w:cs="Arial"/>
        </w:rPr>
      </w:pPr>
      <w:r>
        <w:rPr>
          <w:rFonts w:cs="Arial" w:ascii="Arial" w:hAnsi="Arial"/>
        </w:rPr>
        <w:tab/>
      </w:r>
      <w:r>
        <w:rPr>
          <w:rFonts w:cs="Arial" w:ascii="Arial" w:hAnsi="Arial"/>
          <w:u w:val="single"/>
        </w:rPr>
        <w:t xml:space="preserve">ARTICLE IV </w:t>
        <w:noBreakHyphen/>
        <w:t xml:space="preserve"> TERM</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center" w:pos="4824" w:leader="none"/>
        </w:tabs>
        <w:jc w:val="both"/>
        <w:rPr>
          <w:rFonts w:ascii="Arial" w:hAnsi="Arial" w:cs="Arial"/>
        </w:rPr>
      </w:pPr>
      <w:r>
        <w:rPr>
          <w:rFonts w:cs="Arial" w:ascii="Arial" w:hAnsi="Arial"/>
        </w:rPr>
        <w:tab/>
        <w:t>This agreement shall be effective as of November 1, 1999 and shall continue in full force and effect through October 31, 2000, unless canceled by either party pursuant to other articles contained within this Sales Agreement.  Any termination of this Contract shall not release either party of any obligation incurred hereunder prior to the effective date of termination.</w:t>
      </w:r>
      <w:r>
        <w:br w:type="page"/>
      </w:r>
    </w:p>
    <w:p>
      <w:pPr>
        <w:pStyle w:val="Normal"/>
        <w:tabs>
          <w:tab w:val="clear" w:pos="720"/>
          <w:tab w:val="center" w:pos="4824" w:leader="none"/>
        </w:tabs>
        <w:jc w:val="both"/>
        <w:rPr>
          <w:rFonts w:ascii="Arial" w:hAnsi="Arial" w:cs="Arial"/>
        </w:rPr>
      </w:pPr>
      <w:r>
        <w:rPr>
          <w:rFonts w:cs="Arial" w:ascii="Arial" w:hAnsi="Arial"/>
        </w:rPr>
        <w:tab/>
      </w:r>
      <w:r>
        <w:rPr>
          <w:rFonts w:cs="Arial" w:ascii="Arial" w:hAnsi="Arial"/>
          <w:u w:val="single"/>
        </w:rPr>
        <w:t xml:space="preserve">ARTICLE V </w:t>
        <w:noBreakHyphen/>
        <w:t xml:space="preserve"> NOTICES</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Any notice, request, or demand or statement provided for in this Agreement shall be made in writing and shall be deemed given when actually delivered or, if sent by fax, when receipt of legible copy is confirmed by telephone; provided, however, that payment provided for in the Agreement shall be deemed made when actually received by the party to whom payment is due.</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u w:val="single"/>
        </w:rPr>
        <w:t>BUYER</w:t>
      </w:r>
      <w:r>
        <w:rPr>
          <w:rFonts w:cs="Arial" w:ascii="Arial" w:hAnsi="Arial"/>
        </w:rPr>
        <w:tab/>
        <w:tab/>
        <w:tab/>
        <w:tab/>
        <w:tab/>
        <w:tab/>
      </w:r>
      <w:r>
        <w:rPr>
          <w:rFonts w:cs="Arial" w:ascii="Arial" w:hAnsi="Arial"/>
          <w:u w:val="single"/>
        </w:rPr>
        <w:t>SELLER</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u w:val="single"/>
        </w:rPr>
        <w:t>Notices</w:t>
      </w:r>
      <w:r>
        <w:rPr>
          <w:rFonts w:cs="Arial" w:ascii="Arial" w:hAnsi="Arial"/>
        </w:rPr>
        <w:tab/>
        <w:tab/>
        <w:tab/>
        <w:tab/>
        <w:tab/>
        <w:tab/>
      </w:r>
      <w:r>
        <w:rPr>
          <w:rFonts w:cs="Arial" w:ascii="Arial" w:hAnsi="Arial"/>
          <w:u w:val="single"/>
        </w:rPr>
        <w:t>Notices to Seller</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U. S. Steel Group</w:t>
        <w:tab/>
        <w:tab/>
        <w:tab/>
        <w:tab/>
        <w:tab/>
        <w:t>XXXXX Gas Marketing</w:t>
      </w:r>
    </w:p>
    <w:p>
      <w:pPr>
        <w:pStyle w:val="Normal"/>
        <w:tabs>
          <w:tab w:val="clear" w:pos="720"/>
          <w:tab w:val="left" w:pos="-720" w:leader="none"/>
        </w:tabs>
        <w:jc w:val="both"/>
        <w:rPr>
          <w:rFonts w:ascii="Arial" w:hAnsi="Arial" w:cs="Arial"/>
        </w:rPr>
      </w:pPr>
      <w:r>
        <w:rPr>
          <w:rFonts w:cs="Arial" w:ascii="Arial" w:hAnsi="Arial"/>
        </w:rPr>
        <w:t>A unit of USX Corporation</w:t>
        <w:tab/>
        <w:tab/>
        <w:tab/>
        <w:tab/>
      </w:r>
    </w:p>
    <w:p>
      <w:pPr>
        <w:pStyle w:val="Normal"/>
        <w:tabs>
          <w:tab w:val="clear" w:pos="720"/>
          <w:tab w:val="left" w:pos="-720" w:leader="none"/>
        </w:tabs>
        <w:jc w:val="both"/>
        <w:rPr>
          <w:rFonts w:ascii="Arial" w:hAnsi="Arial" w:cs="Arial"/>
        </w:rPr>
      </w:pPr>
      <w:r>
        <w:rPr>
          <w:rFonts w:cs="Arial" w:ascii="Arial" w:hAnsi="Arial"/>
        </w:rPr>
        <w:t>600 Grant Street - Room 431</w:t>
        <w:tab/>
        <w:tab/>
        <w:tab/>
      </w:r>
    </w:p>
    <w:p>
      <w:pPr>
        <w:pStyle w:val="Normal"/>
        <w:tabs>
          <w:tab w:val="clear" w:pos="720"/>
          <w:tab w:val="left" w:pos="-720" w:leader="none"/>
        </w:tabs>
        <w:jc w:val="both"/>
        <w:rPr>
          <w:rFonts w:ascii="Arial" w:hAnsi="Arial" w:cs="Arial"/>
        </w:rPr>
      </w:pPr>
      <w:r>
        <w:rPr>
          <w:rFonts w:cs="Arial" w:ascii="Arial" w:hAnsi="Arial"/>
        </w:rPr>
        <w:t>Pittsburgh, PA  15219-2749</w:t>
        <w:tab/>
        <w:tab/>
        <w:tab/>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Attention: Natural Gas Buyer</w:t>
        <w:tab/>
        <w:tab/>
        <w:tab/>
        <w:t>Attention: Contract</w:t>
      </w:r>
    </w:p>
    <w:p>
      <w:pPr>
        <w:pStyle w:val="Normal"/>
        <w:tabs>
          <w:tab w:val="clear" w:pos="720"/>
          <w:tab w:val="left" w:pos="-720" w:leader="none"/>
        </w:tabs>
        <w:jc w:val="both"/>
        <w:rPr>
          <w:rFonts w:ascii="Arial" w:hAnsi="Arial" w:cs="Arial"/>
        </w:rPr>
      </w:pPr>
      <w:r>
        <w:rPr>
          <w:rFonts w:eastAsia="Arial" w:cs="Arial" w:ascii="Arial" w:hAnsi="Arial"/>
        </w:rPr>
        <w:t xml:space="preserve">      </w:t>
      </w:r>
      <w:r>
        <w:rPr>
          <w:rFonts w:cs="Arial" w:ascii="Arial" w:hAnsi="Arial"/>
        </w:rPr>
        <w:tab/>
        <w:tab/>
        <w:tab/>
        <w:tab/>
        <w:tab/>
        <w:tab/>
        <w:t xml:space="preserve">           Administration</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pPr>
      <w:r>
        <w:rPr>
          <w:rFonts w:cs="Arial" w:ascii="Arial" w:hAnsi="Arial"/>
          <w:u w:val="single"/>
        </w:rPr>
        <w:t>Statements and Invoices</w:t>
      </w:r>
      <w:r>
        <w:rPr>
          <w:rFonts w:cs="Arial" w:ascii="Arial" w:hAnsi="Arial"/>
        </w:rPr>
        <w:t xml:space="preserve">                </w:t>
        <w:tab/>
        <w:tab/>
      </w:r>
      <w:r>
        <w:rPr>
          <w:rFonts w:cs="Arial" w:ascii="Arial" w:hAnsi="Arial"/>
          <w:u w:val="single"/>
        </w:rPr>
        <w:t>Payments to Seller By Check</w:t>
      </w:r>
      <w:r>
        <w:rPr>
          <w:rFonts w:cs="Arial" w:ascii="Arial" w:hAnsi="Arial"/>
        </w:rPr>
        <w:t>:</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U. S. Steel Group</w:t>
        <w:tab/>
        <w:tab/>
        <w:tab/>
        <w:tab/>
        <w:tab/>
        <w:t>As shown on invoice</w:t>
      </w:r>
    </w:p>
    <w:p>
      <w:pPr>
        <w:pStyle w:val="Normal"/>
        <w:tabs>
          <w:tab w:val="clear" w:pos="720"/>
          <w:tab w:val="left" w:pos="-720" w:leader="none"/>
        </w:tabs>
        <w:jc w:val="both"/>
        <w:rPr>
          <w:rFonts w:ascii="Arial" w:hAnsi="Arial" w:cs="Arial"/>
        </w:rPr>
      </w:pPr>
      <w:r>
        <w:rPr>
          <w:rFonts w:cs="Arial" w:ascii="Arial" w:hAnsi="Arial"/>
        </w:rPr>
        <w:t>A unit of USX Corporation</w:t>
        <w:tab/>
        <w:tab/>
        <w:tab/>
        <w:tab/>
      </w:r>
    </w:p>
    <w:p>
      <w:pPr>
        <w:pStyle w:val="Normal"/>
        <w:tabs>
          <w:tab w:val="clear" w:pos="720"/>
          <w:tab w:val="left" w:pos="-720" w:leader="none"/>
        </w:tabs>
        <w:jc w:val="both"/>
        <w:rPr>
          <w:rFonts w:ascii="Arial" w:hAnsi="Arial" w:cs="Arial"/>
        </w:rPr>
      </w:pPr>
      <w:r>
        <w:rPr>
          <w:rFonts w:cs="Arial" w:ascii="Arial" w:hAnsi="Arial"/>
        </w:rPr>
        <w:t>600 Grant Street - Room 431</w:t>
        <w:tab/>
        <w:tab/>
        <w:tab/>
      </w:r>
    </w:p>
    <w:p>
      <w:pPr>
        <w:pStyle w:val="Normal"/>
        <w:tabs>
          <w:tab w:val="clear" w:pos="720"/>
          <w:tab w:val="left" w:pos="-720" w:leader="none"/>
        </w:tabs>
        <w:jc w:val="both"/>
        <w:rPr>
          <w:rFonts w:ascii="Arial" w:hAnsi="Arial" w:cs="Arial"/>
        </w:rPr>
      </w:pPr>
      <w:r>
        <w:rPr>
          <w:rFonts w:cs="Arial" w:ascii="Arial" w:hAnsi="Arial"/>
        </w:rPr>
        <w:t>Pittsburgh, PA  15219-2749</w:t>
        <w:tab/>
        <w:tab/>
        <w:tab/>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Attention: Natural Gas Buyer</w:t>
        <w:tab/>
        <w:tab/>
        <w:tab/>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pPr>
      <w:r>
        <w:rPr>
          <w:rFonts w:cs="Arial" w:ascii="Arial" w:hAnsi="Arial"/>
          <w:u w:val="single"/>
        </w:rPr>
        <w:t>Advance copy of invoice via FAX</w:t>
      </w:r>
      <w:r>
        <w:rPr>
          <w:rFonts w:cs="Arial" w:ascii="Arial" w:hAnsi="Arial"/>
        </w:rPr>
        <w:tab/>
        <w:tab/>
        <w:tab/>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Attention: Natural Gas Buyer</w:t>
        <w:tab/>
        <w:tab/>
        <w:tab/>
        <w:tab/>
        <w:tab/>
      </w:r>
    </w:p>
    <w:p>
      <w:pPr>
        <w:pStyle w:val="Normal"/>
        <w:tabs>
          <w:tab w:val="clear" w:pos="720"/>
          <w:tab w:val="left" w:pos="-720" w:leader="none"/>
        </w:tabs>
        <w:jc w:val="both"/>
        <w:rPr>
          <w:rFonts w:ascii="Arial" w:hAnsi="Arial" w:cs="Arial"/>
        </w:rPr>
      </w:pPr>
      <w:r>
        <w:rPr>
          <w:rFonts w:cs="Arial" w:ascii="Arial" w:hAnsi="Arial"/>
        </w:rPr>
        <w:t>FAX: 412-433-2449</w:t>
        <w:tab/>
        <w:tab/>
        <w:tab/>
      </w:r>
    </w:p>
    <w:p>
      <w:pPr>
        <w:pStyle w:val="Normal"/>
        <w:tabs>
          <w:tab w:val="clear" w:pos="720"/>
          <w:tab w:val="left" w:pos="-720" w:leader="none"/>
        </w:tabs>
        <w:jc w:val="both"/>
        <w:rPr>
          <w:rFonts w:ascii="Arial" w:hAnsi="Arial" w:cs="Arial"/>
        </w:rPr>
      </w:pPr>
      <w:r>
        <w:rPr>
          <w:rFonts w:cs="Arial" w:ascii="Arial" w:hAnsi="Arial"/>
        </w:rPr>
        <w:tab/>
        <w:tab/>
        <w:tab/>
        <w:tab/>
        <w:tab/>
        <w:tab/>
        <w:tab/>
      </w:r>
    </w:p>
    <w:p>
      <w:pPr>
        <w:pStyle w:val="Normal"/>
        <w:tabs>
          <w:tab w:val="clear" w:pos="720"/>
          <w:tab w:val="left" w:pos="-720" w:leader="none"/>
        </w:tabs>
        <w:jc w:val="both"/>
        <w:rPr>
          <w:rFonts w:ascii="Arial" w:hAnsi="Arial" w:cs="Arial"/>
        </w:rPr>
      </w:pPr>
      <w:r>
        <w:rPr>
          <w:rFonts w:cs="Arial" w:ascii="Arial" w:hAnsi="Arial"/>
        </w:rPr>
        <w:tab/>
      </w:r>
    </w:p>
    <w:p>
      <w:pPr>
        <w:pStyle w:val="Normal"/>
        <w:tabs>
          <w:tab w:val="clear" w:pos="720"/>
          <w:tab w:val="left" w:pos="-720" w:leader="none"/>
        </w:tabs>
        <w:jc w:val="both"/>
        <w:rPr>
          <w:rFonts w:ascii="Arial" w:hAnsi="Arial" w:cs="Arial"/>
        </w:rPr>
      </w:pPr>
      <w:r>
        <w:rPr>
          <w:rFonts w:cs="Arial" w:ascii="Arial" w:hAnsi="Arial"/>
        </w:rPr>
        <w:tab/>
        <w:tab/>
        <w:tab/>
        <w:tab/>
        <w:tab/>
        <w:tab/>
        <w:tab/>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Either party may, from time to time, designate in writing different addresses for notification purposes.</w:t>
      </w:r>
      <w:r>
        <w:br w:type="page"/>
      </w:r>
    </w:p>
    <w:p>
      <w:pPr>
        <w:pStyle w:val="Normal"/>
        <w:tabs>
          <w:tab w:val="clear" w:pos="720"/>
          <w:tab w:val="center" w:pos="4824" w:leader="none"/>
        </w:tabs>
        <w:jc w:val="both"/>
        <w:rPr>
          <w:rFonts w:ascii="Arial" w:hAnsi="Arial" w:cs="Arial"/>
        </w:rPr>
      </w:pPr>
      <w:r>
        <w:rPr>
          <w:rFonts w:cs="Arial" w:ascii="Arial" w:hAnsi="Arial"/>
        </w:rPr>
        <w:tab/>
      </w:r>
      <w:r>
        <w:rPr>
          <w:rFonts w:cs="Arial" w:ascii="Arial" w:hAnsi="Arial"/>
          <w:u w:val="single"/>
        </w:rPr>
        <w:t>ARTICLE VI - LAW GOVERNING</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This Agreement shall be governed and construed in accord with the laws of the State of Indiana, without giving effect to principles of conflicts of law thereof.</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center" w:pos="4824" w:leader="none"/>
        </w:tabs>
        <w:jc w:val="both"/>
        <w:rPr>
          <w:rFonts w:ascii="Arial" w:hAnsi="Arial" w:cs="Arial"/>
        </w:rPr>
      </w:pPr>
      <w:r>
        <w:rPr>
          <w:rFonts w:cs="Arial" w:ascii="Arial" w:hAnsi="Arial"/>
        </w:rPr>
        <w:tab/>
      </w:r>
      <w:r>
        <w:rPr>
          <w:rFonts w:cs="Arial" w:ascii="Arial" w:hAnsi="Arial"/>
          <w:u w:val="single"/>
        </w:rPr>
        <w:t>ARTICLE VII - OTHER TERMS AND CONDITIONS</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7.1</w:t>
        <w:tab/>
        <w:t>Buyer shall obtain firm transportation from The Pipeline sufficient to transport the MDQ for the duration of this contract.</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 xml:space="preserve">7.2 </w:t>
        <w:tab/>
        <w:t>The General Terms and Conditions attached as Appendix A and the list of Primary and Secondary Receipt Points attached hereto as Exhibit A is incorporated by this reference and made a part of this agreement.</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IN WITNESS WHEREOF, the parties hereto have executed this Agreement in duplicate originals on the day and year first above written.</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r>
    </w:p>
    <w:p>
      <w:pPr>
        <w:pStyle w:val="Normal"/>
        <w:tabs>
          <w:tab w:val="left" w:pos="-720" w:leader="none"/>
          <w:tab w:val="left" w:pos="0" w:leader="none"/>
          <w:tab w:val="left" w:pos="720" w:leader="none"/>
          <w:tab w:val="left" w:pos="1440" w:leader="none"/>
          <w:tab w:val="left" w:pos="2160" w:leader="none"/>
        </w:tabs>
        <w:ind w:hanging="2880" w:start="2880" w:end="0"/>
        <w:jc w:val="both"/>
        <w:rPr>
          <w:rFonts w:ascii="Arial" w:hAnsi="Arial" w:cs="Arial"/>
        </w:rPr>
      </w:pPr>
      <w:r>
        <w:rPr>
          <w:rFonts w:cs="Arial" w:ascii="Arial" w:hAnsi="Arial"/>
        </w:rPr>
        <w:tab/>
        <w:tab/>
        <w:tab/>
        <w:tab/>
        <w:tab/>
        <w:t>XXXXX GAS MARKETING COMPANY</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ab/>
        <w:tab/>
        <w:tab/>
        <w:tab/>
        <w:t>Signed:________________________________</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ab/>
        <w:tab/>
        <w:tab/>
        <w:tab/>
        <w:t>By: ___________________________________</w:t>
      </w:r>
    </w:p>
    <w:p>
      <w:pPr>
        <w:pStyle w:val="Normal"/>
        <w:tabs>
          <w:tab w:val="clear" w:pos="720"/>
          <w:tab w:val="left" w:pos="-720" w:leader="none"/>
        </w:tabs>
        <w:jc w:val="both"/>
        <w:rPr>
          <w:rFonts w:ascii="Arial" w:hAnsi="Arial" w:cs="Arial"/>
        </w:rPr>
      </w:pPr>
      <w:r>
        <w:rPr>
          <w:rFonts w:cs="Arial" w:ascii="Arial" w:hAnsi="Arial"/>
        </w:rPr>
        <w:tab/>
        <w:tab/>
        <w:tab/>
        <w:tab/>
        <w:tab/>
      </w:r>
    </w:p>
    <w:p>
      <w:pPr>
        <w:pStyle w:val="Normal"/>
        <w:tabs>
          <w:tab w:val="clear" w:pos="720"/>
          <w:tab w:val="left" w:pos="-720" w:leader="none"/>
        </w:tabs>
        <w:jc w:val="both"/>
        <w:rPr>
          <w:rFonts w:ascii="Arial" w:hAnsi="Arial" w:cs="Arial"/>
        </w:rPr>
      </w:pPr>
      <w:r>
        <w:rPr>
          <w:rFonts w:cs="Arial" w:ascii="Arial" w:hAnsi="Arial"/>
        </w:rPr>
        <w:tab/>
        <w:tab/>
        <w:tab/>
        <w:tab/>
        <w:tab/>
        <w:t>Title: __________________________________</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ab/>
        <w:tab/>
        <w:tab/>
        <w:tab/>
        <w:t xml:space="preserve">U. S. Steel Group, A UNIT OF USX </w:t>
        <w:tab/>
        <w:tab/>
        <w:tab/>
        <w:tab/>
        <w:tab/>
        <w:tab/>
        <w:tab/>
        <w:tab/>
        <w:t>CORPORATION</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ab/>
        <w:tab/>
        <w:tab/>
        <w:tab/>
      </w:r>
    </w:p>
    <w:p>
      <w:pPr>
        <w:pStyle w:val="Normal"/>
        <w:tabs>
          <w:tab w:val="clear" w:pos="720"/>
          <w:tab w:val="left" w:pos="-720" w:leader="none"/>
        </w:tabs>
        <w:jc w:val="both"/>
        <w:rPr>
          <w:rFonts w:ascii="Arial" w:hAnsi="Arial" w:cs="Arial"/>
        </w:rPr>
      </w:pPr>
      <w:r>
        <w:rPr>
          <w:rFonts w:cs="Arial" w:ascii="Arial" w:hAnsi="Arial"/>
        </w:rPr>
        <w:tab/>
        <w:tab/>
        <w:tab/>
        <w:tab/>
        <w:tab/>
        <w:t>Signed:___________________________________</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ab/>
        <w:tab/>
        <w:tab/>
        <w:tab/>
        <w:t>By: Stephen E. Pierce</w:t>
      </w:r>
    </w:p>
    <w:p>
      <w:pPr>
        <w:pStyle w:val="Normal"/>
        <w:tabs>
          <w:tab w:val="clear" w:pos="720"/>
          <w:tab w:val="left" w:pos="-720" w:leader="none"/>
        </w:tabs>
        <w:jc w:val="both"/>
        <w:rPr>
          <w:rFonts w:ascii="Arial" w:hAnsi="Arial" w:cs="Arial"/>
        </w:rPr>
      </w:pPr>
      <w:r>
        <w:rPr>
          <w:rFonts w:cs="Arial" w:ascii="Arial" w:hAnsi="Arial"/>
        </w:rPr>
        <w:tab/>
        <w:tab/>
        <w:tab/>
        <w:tab/>
        <w:tab/>
      </w:r>
    </w:p>
    <w:p>
      <w:pPr>
        <w:pStyle w:val="Normal"/>
        <w:tabs>
          <w:tab w:val="clear" w:pos="720"/>
          <w:tab w:val="left" w:pos="-720" w:leader="none"/>
        </w:tabs>
        <w:jc w:val="both"/>
        <w:rPr>
          <w:rFonts w:ascii="Arial" w:hAnsi="Arial" w:cs="Arial"/>
          <w:u w:val="single"/>
        </w:rPr>
      </w:pPr>
      <w:r>
        <w:rPr>
          <w:rFonts w:cs="Arial" w:ascii="Arial" w:hAnsi="Arial"/>
        </w:rPr>
        <w:tab/>
        <w:tab/>
        <w:tab/>
        <w:tab/>
        <w:tab/>
        <w:t>Title: Senior Purchasing Agent</w:t>
      </w:r>
      <w:r>
        <w:br w:type="page"/>
      </w:r>
    </w:p>
    <w:p>
      <w:pPr>
        <w:pStyle w:val="Normal"/>
        <w:tabs>
          <w:tab w:val="clear" w:pos="720"/>
          <w:tab w:val="left" w:pos="-720" w:leader="none"/>
        </w:tabs>
        <w:jc w:val="both"/>
        <w:rPr>
          <w:rFonts w:ascii="Arial" w:hAnsi="Arial" w:cs="Arial"/>
          <w:u w:val="single"/>
        </w:rPr>
      </w:pPr>
      <w:r>
        <w:rPr>
          <w:rFonts w:cs="Arial" w:ascii="Arial" w:hAnsi="Arial"/>
          <w:u w:val="single"/>
        </w:rPr>
      </w:r>
    </w:p>
    <w:p>
      <w:pPr>
        <w:pStyle w:val="Normal"/>
        <w:tabs>
          <w:tab w:val="clear" w:pos="720"/>
          <w:tab w:val="center" w:pos="4824" w:leader="none"/>
        </w:tabs>
        <w:jc w:val="both"/>
        <w:rPr>
          <w:rFonts w:ascii="Arial" w:hAnsi="Arial" w:cs="Arial"/>
        </w:rPr>
      </w:pPr>
      <w:r>
        <w:rPr>
          <w:rFonts w:cs="Arial" w:ascii="Arial" w:hAnsi="Arial"/>
        </w:rPr>
        <w:tab/>
        <w:t>APPENDIX A</w:t>
      </w:r>
    </w:p>
    <w:p>
      <w:pPr>
        <w:pStyle w:val="Normal"/>
        <w:tabs>
          <w:tab w:val="clear" w:pos="720"/>
          <w:tab w:val="center" w:pos="4824" w:leader="none"/>
        </w:tabs>
        <w:jc w:val="both"/>
        <w:rPr>
          <w:rFonts w:ascii="Arial" w:hAnsi="Arial" w:cs="Arial"/>
        </w:rPr>
      </w:pPr>
      <w:r>
        <w:rPr>
          <w:rFonts w:cs="Arial" w:ascii="Arial" w:hAnsi="Arial"/>
        </w:rPr>
        <w:tab/>
        <w:t>GENERAL TERMS AND CONDITIONS</w:t>
      </w:r>
    </w:p>
    <w:p>
      <w:pPr>
        <w:pStyle w:val="Normal"/>
        <w:tabs>
          <w:tab w:val="left" w:pos="-720" w:leader="none"/>
          <w:tab w:val="left" w:pos="0" w:leader="none"/>
          <w:tab w:val="decimal" w:pos="720" w:leader="none"/>
        </w:tabs>
        <w:jc w:val="both"/>
        <w:rPr>
          <w:rFonts w:ascii="Arial" w:hAnsi="Arial" w:cs="Arial"/>
        </w:rPr>
      </w:pPr>
      <w:r>
        <w:rPr>
          <w:rFonts w:cs="Arial" w:ascii="Arial" w:hAnsi="Arial"/>
        </w:rPr>
        <w:tab/>
      </w:r>
    </w:p>
    <w:p>
      <w:pPr>
        <w:pStyle w:val="Normal"/>
        <w:tabs>
          <w:tab w:val="left" w:pos="-720" w:leader="none"/>
          <w:tab w:val="left" w:pos="0" w:leader="none"/>
          <w:tab w:val="decimal" w:pos="720" w:leader="none"/>
        </w:tabs>
        <w:jc w:val="both"/>
        <w:rPr>
          <w:rFonts w:ascii="Arial" w:hAnsi="Arial" w:cs="Arial"/>
        </w:rPr>
      </w:pPr>
      <w:r>
        <w:rPr>
          <w:rFonts w:cs="Arial" w:ascii="Arial" w:hAnsi="Arial"/>
        </w:rPr>
      </w:r>
    </w:p>
    <w:p>
      <w:pPr>
        <w:pStyle w:val="Normal"/>
        <w:tabs>
          <w:tab w:val="clear" w:pos="720"/>
          <w:tab w:val="center" w:pos="4824" w:leader="none"/>
        </w:tabs>
        <w:jc w:val="both"/>
        <w:rPr>
          <w:rFonts w:ascii="Arial" w:hAnsi="Arial" w:cs="Arial"/>
        </w:rPr>
      </w:pPr>
      <w:r>
        <w:rPr>
          <w:rFonts w:cs="Arial" w:ascii="Arial" w:hAnsi="Arial"/>
        </w:rPr>
        <w:tab/>
      </w:r>
      <w:r>
        <w:rPr>
          <w:rFonts w:cs="Arial" w:ascii="Arial" w:hAnsi="Arial"/>
          <w:u w:val="single"/>
        </w:rPr>
        <w:t>ARTICLE 1 - Definitions</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The following terms shall have the meanings set forth in this Article.</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 w:val="left" w:pos="0" w:leader="none"/>
        </w:tabs>
        <w:ind w:firstLine="720" w:end="0"/>
        <w:jc w:val="both"/>
        <w:rPr>
          <w:rFonts w:ascii="Arial" w:hAnsi="Arial" w:cs="Arial"/>
        </w:rPr>
      </w:pPr>
      <w:r>
        <w:rPr>
          <w:rFonts w:cs="Arial" w:ascii="Arial" w:hAnsi="Arial"/>
        </w:rPr>
        <w:t>1.1</w:t>
        <w:tab/>
        <w:t>"Gas" or "natural gas" means natural gas produced from gas wells, gas produced in association with oil (casinghead gas) and residue gas resulting from processing either casinghead gas or gas</w:t>
        <w:noBreakHyphen/>
        <w:t>well gas.</w:t>
      </w:r>
    </w:p>
    <w:p>
      <w:pPr>
        <w:pStyle w:val="Normal"/>
        <w:tabs>
          <w:tab w:val="clear" w:pos="720"/>
          <w:tab w:val="left" w:pos="-720" w:leader="none"/>
        </w:tabs>
        <w:ind w:start="1440" w:end="0"/>
        <w:jc w:val="both"/>
        <w:rPr>
          <w:rFonts w:ascii="Arial" w:hAnsi="Arial" w:cs="Arial"/>
        </w:rPr>
      </w:pPr>
      <w:r>
        <w:rPr>
          <w:rFonts w:cs="Arial" w:ascii="Arial" w:hAnsi="Arial"/>
        </w:rPr>
      </w:r>
    </w:p>
    <w:p>
      <w:pPr>
        <w:pStyle w:val="Normal"/>
        <w:tabs>
          <w:tab w:val="clear" w:pos="720"/>
          <w:tab w:val="left" w:pos="-720" w:leader="none"/>
          <w:tab w:val="left" w:pos="0" w:leader="none"/>
        </w:tabs>
        <w:ind w:hanging="720" w:end="0"/>
        <w:jc w:val="both"/>
        <w:rPr>
          <w:rFonts w:ascii="Arial" w:hAnsi="Arial" w:cs="Arial"/>
        </w:rPr>
      </w:pPr>
      <w:r>
        <w:rPr>
          <w:rFonts w:cs="Arial" w:ascii="Arial" w:hAnsi="Arial"/>
        </w:rPr>
        <w:tab/>
        <w:tab/>
        <w:t>1.2</w:t>
        <w:tab/>
        <w:t>"Day" means the period of 24 consecutive hours beginning at 9:00 a.m. (Central Clock Time), on any calendar day and ending at 9:00 a.m. (Central Clock Time), on the calendar day immediately following.</w:t>
      </w:r>
    </w:p>
    <w:p>
      <w:pPr>
        <w:pStyle w:val="Normal"/>
        <w:tabs>
          <w:tab w:val="clear" w:pos="720"/>
          <w:tab w:val="left" w:pos="-720" w:leader="none"/>
        </w:tabs>
        <w:ind w:start="1440" w:end="0"/>
        <w:jc w:val="both"/>
        <w:rPr>
          <w:rFonts w:ascii="Arial" w:hAnsi="Arial" w:cs="Arial"/>
        </w:rPr>
      </w:pPr>
      <w:r>
        <w:rPr>
          <w:rFonts w:cs="Arial" w:ascii="Arial" w:hAnsi="Arial"/>
        </w:rPr>
      </w:r>
    </w:p>
    <w:p>
      <w:pPr>
        <w:pStyle w:val="Normal"/>
        <w:tabs>
          <w:tab w:val="clear" w:pos="720"/>
          <w:tab w:val="left" w:pos="-720" w:leader="none"/>
          <w:tab w:val="left" w:pos="0" w:leader="none"/>
        </w:tabs>
        <w:ind w:hanging="720" w:end="0"/>
        <w:jc w:val="both"/>
        <w:rPr>
          <w:rFonts w:ascii="Arial" w:hAnsi="Arial" w:cs="Arial"/>
        </w:rPr>
      </w:pPr>
      <w:r>
        <w:rPr>
          <w:rFonts w:cs="Arial" w:ascii="Arial" w:hAnsi="Arial"/>
        </w:rPr>
        <w:tab/>
        <w:tab/>
        <w:t>1.3</w:t>
        <w:tab/>
        <w:t>"Month" means a period beginning at 9:00 a.m. (Central Clock Time), on the first day of the calendar month and ending at 9:00 a.m. (Central Clock Time), on the first day of the calendar month immediately following.</w:t>
      </w:r>
    </w:p>
    <w:p>
      <w:pPr>
        <w:pStyle w:val="Normal"/>
        <w:tabs>
          <w:tab w:val="clear" w:pos="720"/>
          <w:tab w:val="left" w:pos="-720" w:leader="none"/>
        </w:tabs>
        <w:ind w:start="1440" w:end="0"/>
        <w:jc w:val="both"/>
        <w:rPr>
          <w:rFonts w:ascii="Arial" w:hAnsi="Arial" w:cs="Arial"/>
        </w:rPr>
      </w:pPr>
      <w:r>
        <w:rPr>
          <w:rFonts w:cs="Arial" w:ascii="Arial" w:hAnsi="Arial"/>
        </w:rPr>
      </w:r>
    </w:p>
    <w:p>
      <w:pPr>
        <w:pStyle w:val="Normal"/>
        <w:tabs>
          <w:tab w:val="left" w:pos="-720" w:leader="none"/>
          <w:tab w:val="left" w:pos="0" w:leader="none"/>
          <w:tab w:val="left" w:pos="720" w:leader="none"/>
        </w:tabs>
        <w:ind w:hanging="1440" w:start="1440" w:end="0"/>
        <w:jc w:val="both"/>
        <w:rPr>
          <w:rFonts w:ascii="Arial" w:hAnsi="Arial" w:cs="Arial"/>
        </w:rPr>
      </w:pPr>
      <w:r>
        <w:rPr>
          <w:rFonts w:cs="Arial" w:ascii="Arial" w:hAnsi="Arial"/>
        </w:rPr>
        <w:tab/>
        <w:t>1.4</w:t>
        <w:tab/>
        <w:t>"MMBTU" means one million British Thermal Units.</w:t>
      </w:r>
    </w:p>
    <w:p>
      <w:pPr>
        <w:pStyle w:val="Normal"/>
        <w:tabs>
          <w:tab w:val="clear" w:pos="720"/>
          <w:tab w:val="left" w:pos="-720" w:leader="none"/>
        </w:tabs>
        <w:ind w:start="1440" w:end="0"/>
        <w:jc w:val="both"/>
        <w:rPr>
          <w:rFonts w:ascii="Arial" w:hAnsi="Arial" w:cs="Arial"/>
        </w:rPr>
      </w:pPr>
      <w:r>
        <w:rPr>
          <w:rFonts w:cs="Arial" w:ascii="Arial" w:hAnsi="Arial"/>
        </w:rPr>
      </w:r>
    </w:p>
    <w:p>
      <w:pPr>
        <w:pStyle w:val="Normal"/>
        <w:tabs>
          <w:tab w:val="clear" w:pos="720"/>
          <w:tab w:val="left" w:pos="-720" w:leader="none"/>
          <w:tab w:val="left" w:pos="0" w:leader="none"/>
        </w:tabs>
        <w:jc w:val="both"/>
        <w:rPr>
          <w:rFonts w:ascii="Arial" w:hAnsi="Arial" w:cs="Arial"/>
        </w:rPr>
      </w:pPr>
      <w:r>
        <w:rPr>
          <w:rFonts w:cs="Arial" w:ascii="Arial" w:hAnsi="Arial"/>
        </w:rPr>
        <w:tab/>
        <w:t>1.5</w:t>
        <w:tab/>
        <w:t>"Sales Agreement" refers to the sales contract(s) which Buyer and Seller have entered into, which incorporates by reference these General Terms and Conditions.</w:t>
      </w:r>
    </w:p>
    <w:p>
      <w:pPr>
        <w:pStyle w:val="Normal"/>
        <w:tabs>
          <w:tab w:val="clear" w:pos="720"/>
          <w:tab w:val="left" w:pos="-720" w:leader="none"/>
        </w:tabs>
        <w:ind w:start="1440" w:end="0"/>
        <w:jc w:val="both"/>
        <w:rPr>
          <w:rFonts w:ascii="Arial" w:hAnsi="Arial" w:cs="Arial"/>
        </w:rPr>
      </w:pPr>
      <w:r>
        <w:rPr>
          <w:rFonts w:cs="Arial" w:ascii="Arial" w:hAnsi="Arial"/>
        </w:rPr>
      </w:r>
    </w:p>
    <w:p>
      <w:pPr>
        <w:pStyle w:val="Normal"/>
        <w:tabs>
          <w:tab w:val="clear" w:pos="720"/>
          <w:tab w:val="left" w:pos="-720" w:leader="none"/>
        </w:tabs>
        <w:ind w:firstLine="720" w:end="0"/>
        <w:jc w:val="both"/>
        <w:rPr>
          <w:rFonts w:ascii="Arial" w:hAnsi="Arial" w:cs="Arial"/>
        </w:rPr>
      </w:pPr>
      <w:r>
        <w:rPr>
          <w:rFonts w:cs="Arial" w:ascii="Arial" w:hAnsi="Arial"/>
        </w:rPr>
        <w:t>1.6</w:t>
        <w:tab/>
        <w:t xml:space="preserve">"Transporters" means the interstate or intrastate natural gas pipeline companies, gatherers, and the local distribution companies whose </w:t>
        <w:tab/>
        <w:t>transportation services are required by Buyer.</w:t>
      </w:r>
    </w:p>
    <w:p>
      <w:pPr>
        <w:pStyle w:val="Normal"/>
        <w:tabs>
          <w:tab w:val="clear" w:pos="720"/>
          <w:tab w:val="left" w:pos="-720" w:leader="none"/>
        </w:tabs>
        <w:ind w:start="1440" w:end="0"/>
        <w:jc w:val="both"/>
        <w:rPr>
          <w:rFonts w:ascii="Arial" w:hAnsi="Arial" w:cs="Arial"/>
        </w:rPr>
      </w:pPr>
      <w:r>
        <w:rPr>
          <w:rFonts w:cs="Arial" w:ascii="Arial" w:hAnsi="Arial"/>
        </w:rPr>
      </w:r>
    </w:p>
    <w:p>
      <w:pPr>
        <w:pStyle w:val="Normal"/>
        <w:tabs>
          <w:tab w:val="clear" w:pos="720"/>
          <w:tab w:val="center" w:pos="4824" w:leader="none"/>
        </w:tabs>
        <w:jc w:val="both"/>
        <w:rPr>
          <w:rFonts w:ascii="Arial" w:hAnsi="Arial" w:cs="Arial"/>
        </w:rPr>
      </w:pPr>
      <w:r>
        <w:rPr>
          <w:rFonts w:cs="Arial" w:ascii="Arial" w:hAnsi="Arial"/>
        </w:rPr>
        <w:tab/>
      </w:r>
      <w:r>
        <w:rPr>
          <w:rFonts w:cs="Arial" w:ascii="Arial" w:hAnsi="Arial"/>
          <w:u w:val="single"/>
        </w:rPr>
        <w:t>ARTICLE 2 - Quantity and Delivery</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2.1</w:t>
        <w:tab/>
        <w:t>The parties agree to use all reasonable efforts to receive and deliver gas purchased under the Sales Agreement at a relatively constant daily rate.  Buyer shall promptly notify Seller of any change in its rate of receipts.  Changes in rate of receipt cannot be made retroactively by Buyer without Seller's written agreement.</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2.2</w:t>
        <w:tab/>
        <w:t>Seller shall be responsible for all costs incurred for gathering and transportation of the gas to be sold under each Sales Agreement to the point(s) of delivery specified in each such Sales Agreement, and Buyer shall be responsible for all costs incurred for transportation of such gas beyond the point(s) of delivery.  However, it is recognized that the parties providing transportation for Seller and Buyer may require certain nominating procedures to be followed with respect to the daily and monthly scheduling of deliveries of gas to such transporters and the redelivery of such gas by the transporters to Seller or Buyer or their designees.  Seller and Buyer agree to provide to the other, in as prompt a manner as reasonable, all information necessary to permit such scheduling requirements to be met, and shall act promptly to vary the rate of delivery or receipt of gas upon notice from the other party of the necessity of a change in rate of delivery or receipt.  Should either Seller or Buyer incur a penalty or special charge for an imbalance between deliveries to and receipts from a transporter, or for delivering to or receiving from the transporter a volume different from the volume nominated or scheduled, and should such penalty or special charge have been incurred by one of the parties to this Agreement because the other party failed to deliver or take, respectively, the volumes scheduled to be delivered or taken, such other party shall be responsible for the penalties or special charges incurred.  Provided, however, that neither party shall be so held responsible for any penalties or special charges unless and until it has received written notice of the applicable scheduling/nomination requirements.</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2.3</w:t>
        <w:tab/>
        <w:t>Purchase and sale of gas pursuant to Article I of the Sales Agreement(s) shall be expressly subject to the ability of the Transporter(s)'s pipeline system to accept gas, which is to be sold hereunder, and the Transporter(s)'s willingness to transport the gas which is the subject of the Sales Agreement(s).  The obligation of Seller and Buyer with respect to the sale and purchase of Gas under Article I of the Sales Agreement(s) shall be suspended during any period when a Transporter is unable or unwilling to transport, except that Seller shall remain obligated to provide gas to Buyer in the event any Transporter delivering gas to The Pipeline should institute an arbitrary proration of deliveries to The Pipeline due to Transporter's inability to verify receipt of gas that Seller is shipping on the Transporter's system.  The term of the affected Sales Agreement(s) shall continue to run during any period of suspension, provided, however, that if deliveries are suspended for a continuous period in excess of 30 Days because of such interruption in transportation, either party may terminate the affected Sales Agreement(s) on ten days prior written notice.</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center" w:pos="4824" w:leader="none"/>
        </w:tabs>
        <w:jc w:val="both"/>
        <w:rPr>
          <w:rFonts w:ascii="Arial" w:hAnsi="Arial" w:cs="Arial"/>
        </w:rPr>
      </w:pPr>
      <w:r>
        <w:rPr>
          <w:rFonts w:cs="Arial" w:ascii="Arial" w:hAnsi="Arial"/>
        </w:rPr>
        <w:tab/>
      </w:r>
      <w:r>
        <w:rPr>
          <w:rFonts w:cs="Arial" w:ascii="Arial" w:hAnsi="Arial"/>
          <w:u w:val="single"/>
        </w:rPr>
        <w:t>ARTICLE 3 - Quality</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3.1</w:t>
        <w:tab/>
        <w:t>The Gas sold and delivered to Buyer shall meet</w:t>
      </w:r>
    </w:p>
    <w:p>
      <w:pPr>
        <w:pStyle w:val="Normal"/>
        <w:tabs>
          <w:tab w:val="clear" w:pos="720"/>
          <w:tab w:val="left" w:pos="-720" w:leader="none"/>
        </w:tabs>
        <w:jc w:val="both"/>
        <w:rPr>
          <w:rFonts w:ascii="Arial" w:hAnsi="Arial" w:cs="Arial"/>
        </w:rPr>
      </w:pPr>
      <w:r>
        <w:rPr>
          <w:rFonts w:cs="Arial" w:ascii="Arial" w:hAnsi="Arial"/>
        </w:rPr>
        <w:t>the minimum quality specifications applicable at the Delivery Point(s), as provided in the General Terms and Conditions of The Pipeline's FERC Gas Tariff.</w:t>
      </w:r>
    </w:p>
    <w:p>
      <w:pPr>
        <w:pStyle w:val="Normal"/>
        <w:tabs>
          <w:tab w:val="clear" w:pos="720"/>
          <w:tab w:val="center" w:pos="4824" w:leader="none"/>
        </w:tabs>
        <w:jc w:val="both"/>
        <w:rPr>
          <w:rFonts w:ascii="Arial" w:hAnsi="Arial" w:cs="Arial"/>
        </w:rPr>
      </w:pPr>
      <w:r>
        <w:rPr>
          <w:rFonts w:cs="Arial" w:ascii="Arial" w:hAnsi="Arial"/>
        </w:rPr>
      </w:r>
    </w:p>
    <w:p>
      <w:pPr>
        <w:pStyle w:val="Normal"/>
        <w:tabs>
          <w:tab w:val="clear" w:pos="720"/>
          <w:tab w:val="center" w:pos="4824" w:leader="none"/>
        </w:tabs>
        <w:jc w:val="both"/>
        <w:rPr>
          <w:rFonts w:ascii="Arial" w:hAnsi="Arial" w:cs="Arial"/>
        </w:rPr>
      </w:pPr>
      <w:r>
        <w:rPr>
          <w:rFonts w:cs="Arial" w:ascii="Arial" w:hAnsi="Arial"/>
        </w:rPr>
        <w:tab/>
      </w:r>
      <w:r>
        <w:rPr>
          <w:rFonts w:cs="Arial" w:ascii="Arial" w:hAnsi="Arial"/>
          <w:u w:val="single"/>
        </w:rPr>
        <w:t>ARTICLE 4 - Title, Risk of Loss and Liability</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4.1</w:t>
        <w:tab/>
        <w:t>Buyer shall indemnify, defend and hold Seller harmless from and against all loss, cost and expense, including court costs and attorneys fees, for any claims, suits, judgments, demands, actions or liability growing out of the operations conducted hereunder by Buyer or arising after the gas is delivered to Buyer at the point(s) of delivery.  Seller shall indemnify, defend and hold Buyer harmless from and against all loss, cost and expense, including court costs and attorneys fees, for any claims, suits judgments, demands, actions or liability growing out of Seller's operations or arising prior to delivery of the gas to Buyer at the point(s) of delivery.</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4.2</w:t>
        <w:tab/>
        <w:t>Seller warrants generally title to all gas delivered by it hereunder, that it has the right to sell same and that such gas is free from liens and adverse claims of every kind.  Seller shall pay or cause to be paid all sums due for gathering or transporting the gas prior to delivery hereunder and shall indemnify and hold</w:t>
      </w:r>
    </w:p>
    <w:p>
      <w:pPr>
        <w:pStyle w:val="Normal"/>
        <w:tabs>
          <w:tab w:val="clear" w:pos="720"/>
          <w:tab w:val="left" w:pos="-720" w:leader="none"/>
        </w:tabs>
        <w:jc w:val="both"/>
        <w:rPr>
          <w:rFonts w:ascii="Arial" w:hAnsi="Arial" w:cs="Arial"/>
        </w:rPr>
      </w:pPr>
      <w:r>
        <w:rPr>
          <w:rFonts w:cs="Arial" w:ascii="Arial" w:hAnsi="Arial"/>
        </w:rPr>
        <w:t>harmless Buyer from and against all taxes, payments, liens or other charges applicable to such gas arising prior to delivery hereunder.</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center" w:pos="4824" w:leader="none"/>
        </w:tabs>
        <w:jc w:val="both"/>
        <w:rPr>
          <w:rFonts w:ascii="Arial" w:hAnsi="Arial" w:cs="Arial"/>
        </w:rPr>
      </w:pPr>
      <w:r>
        <w:rPr>
          <w:rFonts w:cs="Arial" w:ascii="Arial" w:hAnsi="Arial"/>
        </w:rPr>
        <w:tab/>
      </w:r>
      <w:r>
        <w:rPr>
          <w:rFonts w:cs="Arial" w:ascii="Arial" w:hAnsi="Arial"/>
          <w:u w:val="single"/>
        </w:rPr>
        <w:t>ARTICLE 5 - Taxes and Royalties</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5.1</w:t>
        <w:tab/>
        <w:t>Seller agrees to pay or cause to be paid all royalties and all taxes including production, severance and property taxes which attach to the gas prior to delivery hereunder, and Buyer agrees to pay all taxes applicable to such gas after delivery, including any state or local gas revenue, utility, sales or use taxes applicable to the sale of gas hereunder.  In the event Seller delivers gas to Buyer's city gate, and Seller is required to remit or pay taxes as a result of such delivery, Buyer shall promptly reimburse Seller for the tax paid.</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center" w:pos="4824" w:leader="none"/>
        </w:tabs>
        <w:jc w:val="both"/>
        <w:rPr>
          <w:rFonts w:ascii="Arial" w:hAnsi="Arial" w:cs="Arial"/>
        </w:rPr>
      </w:pPr>
      <w:r>
        <w:rPr>
          <w:rFonts w:cs="Arial" w:ascii="Arial" w:hAnsi="Arial"/>
        </w:rPr>
        <w:tab/>
      </w:r>
      <w:r>
        <w:rPr>
          <w:rFonts w:cs="Arial" w:ascii="Arial" w:hAnsi="Arial"/>
          <w:u w:val="single"/>
        </w:rPr>
        <w:t>ARTICLE 6 - Statements and Payments</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6.1</w:t>
        <w:tab/>
        <w:t>On or before the fifteenth (15th) day of each month during the term of this Agreement, Seller shall send a statement to Buyer showing the total volume of gas delivered to Buyer during the preceding month, the quantity not taken but to be paid for, the price and the total amount due.  Buyer shall pay Seller within 15 days of receipt of Seller's statement.  All such payments shall be made to Seller by check.  Seller may bill Buyer based on nominated volumes, subject to reduction for any known periods when nominated volumes were not delivered and subject to later correction based on actual supporting data.  If a statement is rendered based on nominated volumes rather than actual deliveries, the nominated quantities will be converted to reflect actual total quantities on the following month's billing.  If Buyer fails to pay for a period of thirty (30) days past the due date, Seller may, in addition to any and all other available remedies, suspend deliveries of gas hereunder or cancel the applicable Sales Agreement.</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6.2</w:t>
        <w:tab/>
        <w:t>All statements of actual deliveries shall be final unless questioned within one year of the date of this statement.  In the event an error is discovered within such one year period in the amount billed in any statement rendered be Seller, such error shall be adjusted within thirty (30) days of the discovery of the error.</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6.3</w:t>
        <w:tab/>
        <w:t>In the case of disputed accounts, Buyer and Seller shall promptly make a complete investigation of the matter and Buyer shall agree to pay all the amounts not in dispute.  The due date pertaining to all remaining disputed amounts shall be suspended and deferred for thirty (30) days from the invoiced due date in which time Buyer and Seller shall resolve the dispute.  Such payment shall not be deemed to be a waiver of the right by Buyer to recoup any overpayment.  Furthermore, nothing within this Article 6.3 shall be viewed as waiving Seller's rights to collect all amounts due and owing to Seller.</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6.4</w:t>
        <w:tab/>
        <w:t>Each party hereto shall have the right, at any reasonable time upon reasonable notice to the other, to examine the books and records of the other party, to the extent necessary to verify the accuracy of any statement, charge, computation or demand made under this Agreement.</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center" w:pos="4824" w:leader="none"/>
        </w:tabs>
        <w:jc w:val="both"/>
        <w:rPr>
          <w:rFonts w:ascii="Arial" w:hAnsi="Arial" w:cs="Arial"/>
        </w:rPr>
      </w:pPr>
      <w:r>
        <w:rPr>
          <w:rFonts w:cs="Arial" w:ascii="Arial" w:hAnsi="Arial"/>
        </w:rPr>
        <w:tab/>
      </w:r>
      <w:r>
        <w:rPr>
          <w:rFonts w:cs="Arial" w:ascii="Arial" w:hAnsi="Arial"/>
          <w:u w:val="single"/>
        </w:rPr>
        <w:t>ARTICLE 7 - Measurement of Gas</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7.1</w:t>
        <w:tab/>
        <w:t>Equipment used for measurement shall be that installed and operated by the Transporter that controls measurement at the point of delivery.  Such equipment shall meet or exceed minimum industry standards.  Both Buyer and Seller shall have the right to install check measurement equipment and may request calibration of pipeline meters, subject to the terms of the transportation contract(s). Seller shall not be required to install any measuring equipment. Buyer and Seller agree to cooperate in resolving any dispute or disagreement concerning the measurement of gas.</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center" w:pos="4824" w:leader="none"/>
        </w:tabs>
        <w:jc w:val="both"/>
        <w:rPr>
          <w:rFonts w:ascii="Arial" w:hAnsi="Arial" w:cs="Arial"/>
        </w:rPr>
      </w:pPr>
      <w:r>
        <w:rPr>
          <w:rFonts w:cs="Arial" w:ascii="Arial" w:hAnsi="Arial"/>
        </w:rPr>
        <w:tab/>
      </w:r>
      <w:r>
        <w:rPr>
          <w:rFonts w:cs="Arial" w:ascii="Arial" w:hAnsi="Arial"/>
          <w:u w:val="single"/>
        </w:rPr>
        <w:t>ARTICLE 8 - Regulatory Bodies</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8.1</w:t>
        <w:tab/>
        <w:t>These General Terms and Conditions shall be subject to all valid laws, orders, rules and regulations of any and all duly constituted governmental authorities (whether Federal, State or Local), having jurisdiction over the subject matter hereof.</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center" w:pos="4824" w:leader="none"/>
        </w:tabs>
        <w:jc w:val="both"/>
        <w:rPr>
          <w:rFonts w:ascii="Arial" w:hAnsi="Arial" w:cs="Arial"/>
        </w:rPr>
      </w:pPr>
      <w:r>
        <w:rPr>
          <w:rFonts w:cs="Arial" w:ascii="Arial" w:hAnsi="Arial"/>
        </w:rPr>
        <w:tab/>
      </w:r>
      <w:r>
        <w:rPr>
          <w:rFonts w:cs="Arial" w:ascii="Arial" w:hAnsi="Arial"/>
          <w:u w:val="single"/>
        </w:rPr>
        <w:t>ARTICLE 9 - Force Majeure</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9.1</w:t>
        <w:tab/>
        <w:t>Neither Buyer nor Seller shall be liable for any failure to perform these General Terms and Conditions or a Sales Agreement, except to make payments due, when such failure is due to an event of force majeure, which shall mean acts of God, strikes, lockouts, labor disputes or disturbances, civil disturbances, arrests and restraint from rulers of people, interruptions by government or court orders, present and future valid orders of any regulatory body having proper Jurisdiction, acts of the public enemy, wars, riots, blockades, insurrections, inability to secure labor or inability to secure materials, including inability to secure materials by reason of allocations promulgated by authorized governmental agencies, epidemics, landslide, lightning, earthquakes, fire, storm, floods, washouts, explosions, breakage or accident to machinery or lines of pipe, freezing of wells or pipelines, inability to maintain firm transportation service including any firm transporter's failure to provide such service, except that Seller shall not utilize non-firm transportation service in connection with service hereunder and shall remain obligated to provide gas to Buyer in the event any Transporter delivering gas to The Pipeline should institute an arbitrary proration of deliveries to The Pipeline due to Transporter's inability to verify receipt of gas that Seller is shipping on the Transporter's system, or any other cause, whether of the kind herein enumerated or otherwise, not reasonably within the control of the party claiming force majeure.  Any event of force majeure shall, so far as possible, be remedied with all reasonable dispatch.  An event of force majeure shall continue for the duration of any strikes, lockouts, or industrial disputes or disturbances until settlement is reached which is satisfactory to the affected party in the exercise of its sole discretion.  Notice of an event of force majeure shall be given in writing as soon as possible by the party claiming force majeure but in no case shall such notice be given later than three (3) working days from the beginning of each occurrence.  During any force majeure condition, Buyer's obligation to take-or-pay for gas and Seller's obligation to deliver gas shall be suspended for the duration of the force majeure condition, except that Seller shall be obligated to deliver up to the MDQ as requested by Buyer should Buyer declare force majeure condition.</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center" w:pos="4824" w:leader="none"/>
        </w:tabs>
        <w:jc w:val="both"/>
        <w:rPr>
          <w:rFonts w:ascii="Arial" w:hAnsi="Arial" w:cs="Arial"/>
        </w:rPr>
      </w:pPr>
      <w:r>
        <w:rPr>
          <w:rFonts w:cs="Arial" w:ascii="Arial" w:hAnsi="Arial"/>
        </w:rPr>
        <w:tab/>
      </w:r>
      <w:r>
        <w:rPr>
          <w:rFonts w:cs="Arial" w:ascii="Arial" w:hAnsi="Arial"/>
          <w:u w:val="single"/>
        </w:rPr>
        <w:t>ARTICLE 10 - Assignment</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10.1</w:t>
        <w:tab/>
        <w:t>No party to this Agreement shall assign or transfer this Agreement or any interest herein, without the prior written consent of the other party, which consent shall not be unreasonably withheld.</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center" w:pos="4824" w:leader="none"/>
        </w:tabs>
        <w:jc w:val="both"/>
        <w:rPr>
          <w:rFonts w:ascii="Arial" w:hAnsi="Arial" w:cs="Arial"/>
        </w:rPr>
      </w:pPr>
      <w:r>
        <w:rPr>
          <w:rFonts w:cs="Arial" w:ascii="Arial" w:hAnsi="Arial"/>
        </w:rPr>
        <w:tab/>
      </w:r>
      <w:r>
        <w:rPr>
          <w:rFonts w:cs="Arial" w:ascii="Arial" w:hAnsi="Arial"/>
          <w:u w:val="single"/>
        </w:rPr>
        <w:t>ARTICLE 11 - Amendments</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ab/>
        <w:t>11.1</w:t>
        <w:tab/>
        <w:t>These General Terms and Conditions together with the Sales Agreement executed pursuant hereto contain the entire agreement of the parties with respect to the subject matter hereof and all previous agreements, whether written or oral, are hereby superseded. These General Terms and Conditions may be amended only by written instrument executed by the parties hereto.</w:t>
      </w:r>
      <w:r>
        <w:br w:type="page"/>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center" w:pos="4824" w:leader="none"/>
        </w:tabs>
        <w:jc w:val="both"/>
        <w:rPr/>
      </w:pPr>
      <w:r>
        <w:rPr>
          <w:rFonts w:cs="Arial" w:ascii="Arial" w:hAnsi="Arial"/>
        </w:rPr>
        <w:tab/>
      </w:r>
      <w:r>
        <w:rPr>
          <w:rFonts w:cs="Arial" w:ascii="Arial" w:hAnsi="Arial"/>
          <w:b/>
          <w:u w:val="single"/>
        </w:rPr>
        <w:t>EXIHIBIT A</w:t>
      </w:r>
      <w:r>
        <w:rPr>
          <w:rFonts w:cs="Arial" w:ascii="Arial" w:hAnsi="Arial"/>
          <w:u w:val="single"/>
        </w:rPr>
        <w:t xml:space="preserve"> </w:t>
      </w:r>
    </w:p>
    <w:p>
      <w:pPr>
        <w:pStyle w:val="Normal"/>
        <w:tabs>
          <w:tab w:val="clear" w:pos="720"/>
          <w:tab w:val="center" w:pos="4824" w:leader="none"/>
        </w:tabs>
        <w:jc w:val="both"/>
        <w:rPr>
          <w:rFonts w:ascii="Arial" w:hAnsi="Arial" w:cs="Arial"/>
          <w:u w:val="single"/>
        </w:rPr>
      </w:pPr>
      <w:r>
        <w:rPr>
          <w:rFonts w:cs="Arial" w:ascii="Arial" w:hAnsi="Arial"/>
          <w:u w:val="single"/>
        </w:rPr>
      </w:r>
    </w:p>
    <w:p>
      <w:pPr>
        <w:pStyle w:val="Normal"/>
        <w:tabs>
          <w:tab w:val="clear" w:pos="720"/>
          <w:tab w:val="center" w:pos="4824" w:leader="none"/>
        </w:tabs>
        <w:jc w:val="both"/>
        <w:rPr>
          <w:rFonts w:ascii="Arial" w:hAnsi="Arial" w:cs="Arial"/>
          <w:b/>
        </w:rPr>
      </w:pPr>
      <w:r>
        <w:rPr>
          <w:rFonts w:cs="Arial" w:ascii="Arial" w:hAnsi="Arial"/>
          <w:b/>
          <w:u w:val="single"/>
        </w:rPr>
        <w:t>Primary Receipt Points and Quantities</w:t>
      </w:r>
    </w:p>
    <w:p>
      <w:pPr>
        <w:pStyle w:val="Normal"/>
        <w:tabs>
          <w:tab w:val="clear" w:pos="720"/>
          <w:tab w:val="left" w:pos="-720" w:leader="none"/>
        </w:tabs>
        <w:jc w:val="both"/>
        <w:rPr>
          <w:rFonts w:ascii="Arial" w:hAnsi="Arial" w:cs="Arial"/>
          <w:b/>
        </w:rPr>
      </w:pPr>
      <w:r>
        <w:rPr>
          <w:rFonts w:cs="Arial" w:ascii="Arial" w:hAnsi="Arial"/>
          <w:b/>
        </w:rPr>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pPr>
      <w:r>
        <w:rPr>
          <w:rFonts w:cs="Arial" w:ascii="Arial" w:hAnsi="Arial"/>
          <w:u w:val="single"/>
        </w:rPr>
        <w:t>PRIMARY METER NAME</w:t>
      </w:r>
      <w:r>
        <w:rPr>
          <w:rFonts w:cs="Arial" w:ascii="Arial" w:hAnsi="Arial"/>
        </w:rPr>
        <w:t xml:space="preserve">      </w:t>
      </w:r>
      <w:r>
        <w:rPr>
          <w:rFonts w:cs="Arial" w:ascii="Arial" w:hAnsi="Arial"/>
          <w:u w:val="single"/>
        </w:rPr>
        <w:t>PIN #</w:t>
      </w:r>
      <w:r>
        <w:rPr>
          <w:rFonts w:cs="Arial" w:ascii="Arial" w:hAnsi="Arial"/>
        </w:rPr>
        <w:t xml:space="preserve">           </w:t>
      </w:r>
      <w:r>
        <w:rPr>
          <w:rFonts w:cs="Arial" w:ascii="Arial" w:hAnsi="Arial"/>
          <w:u w:val="single"/>
        </w:rPr>
        <w:t>POINT MDQ</w:t>
      </w:r>
      <w:r>
        <w:rPr>
          <w:rFonts w:cs="Arial" w:ascii="Arial" w:hAnsi="Arial"/>
        </w:rPr>
        <w:t xml:space="preserve"> (MMBTU)</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Xxxxx</w:t>
        <w:tab/>
        <w:tab/>
        <w:tab/>
        <w:tab/>
        <w:t xml:space="preserve">    xxxx</w:t>
        <w:tab/>
        <w:tab/>
        <w:tab/>
        <w:t xml:space="preserve"> xxxxxx</w:t>
      </w:r>
    </w:p>
    <w:p>
      <w:pPr>
        <w:pStyle w:val="Normal"/>
        <w:tabs>
          <w:tab w:val="clear" w:pos="720"/>
          <w:tab w:val="left" w:pos="-720" w:leader="none"/>
        </w:tabs>
        <w:jc w:val="both"/>
        <w:rPr>
          <w:rFonts w:ascii="Arial" w:hAnsi="Arial" w:cs="Arial"/>
        </w:rPr>
      </w:pPr>
      <w:r>
        <w:rPr>
          <w:rFonts w:cs="Arial" w:ascii="Arial" w:hAnsi="Arial"/>
        </w:rPr>
      </w:r>
    </w:p>
    <w:p>
      <w:pPr>
        <w:pStyle w:val="Normal"/>
        <w:tabs>
          <w:tab w:val="left" w:pos="-720" w:leader="none"/>
          <w:tab w:val="left" w:pos="0" w:leader="none"/>
          <w:tab w:val="left" w:pos="720" w:leader="none"/>
          <w:tab w:val="left" w:pos="1440" w:leader="none"/>
          <w:tab w:val="left" w:pos="2160" w:leader="none"/>
        </w:tabs>
        <w:ind w:hanging="2880" w:start="2880" w:end="0"/>
        <w:jc w:val="both"/>
        <w:rPr>
          <w:rFonts w:ascii="Arial" w:hAnsi="Arial" w:cs="Arial"/>
        </w:rPr>
      </w:pPr>
      <w:r>
        <w:rPr>
          <w:rFonts w:cs="Arial" w:ascii="Arial" w:hAnsi="Arial"/>
        </w:rPr>
        <w:tab/>
        <w:tab/>
        <w:tab/>
        <w:tab/>
        <w:tab/>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center" w:pos="4824" w:leader="none"/>
        </w:tabs>
        <w:rPr>
          <w:rFonts w:ascii="Arial" w:hAnsi="Arial" w:cs="Arial"/>
          <w:b/>
        </w:rPr>
      </w:pPr>
      <w:r>
        <w:rPr>
          <w:rFonts w:cs="Arial" w:ascii="Arial" w:hAnsi="Arial"/>
          <w:b/>
          <w:u w:val="single"/>
        </w:rPr>
        <w:t>Secondary Receipt Points and Volumes</w:t>
      </w:r>
    </w:p>
    <w:p>
      <w:pPr>
        <w:pStyle w:val="Normal"/>
        <w:tabs>
          <w:tab w:val="clear" w:pos="720"/>
          <w:tab w:val="left" w:pos="-720" w:leader="none"/>
        </w:tabs>
        <w:jc w:val="both"/>
        <w:rPr>
          <w:rFonts w:ascii="Arial" w:hAnsi="Arial" w:cs="Arial"/>
          <w:b/>
        </w:rPr>
      </w:pPr>
      <w:r>
        <w:rPr>
          <w:rFonts w:cs="Arial" w:ascii="Arial" w:hAnsi="Arial"/>
          <w:b/>
        </w:rPr>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rPr>
          <w:rFonts w:ascii="Arial" w:hAnsi="Arial" w:cs="Arial"/>
        </w:rPr>
      </w:pPr>
      <w:r>
        <w:rPr>
          <w:rFonts w:cs="Arial" w:ascii="Arial" w:hAnsi="Arial"/>
        </w:rPr>
        <w:t>AS MUTUALLY AGREED BETWEEN BUYER AND SELLER</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t>Note: Point MDQ's do not include fuel as specified by The Pipeline which will also be put into each point as required.</w:t>
      </w:r>
    </w:p>
    <w:p>
      <w:pPr>
        <w:pStyle w:val="Normal"/>
        <w:tabs>
          <w:tab w:val="clear" w:pos="720"/>
          <w:tab w:val="left" w:pos="-720" w:leader="none"/>
        </w:tabs>
        <w:jc w:val="both"/>
        <w:rPr>
          <w:rFonts w:ascii="Arial" w:hAnsi="Arial" w:cs="Arial"/>
        </w:rPr>
      </w:pPr>
      <w:r>
        <w:rPr>
          <w:rFonts w:cs="Arial" w:ascii="Arial" w:hAnsi="Arial"/>
        </w:rPr>
      </w:r>
    </w:p>
    <w:p>
      <w:pPr>
        <w:pStyle w:val="Normal"/>
        <w:tabs>
          <w:tab w:val="clear" w:pos="720"/>
          <w:tab w:val="left" w:pos="-720" w:leader="none"/>
        </w:tabs>
        <w:jc w:val="both"/>
        <w:rPr>
          <w:rFonts w:ascii="Arial" w:hAnsi="Arial" w:cs="Arial"/>
        </w:rPr>
      </w:pPr>
      <w:r>
        <w:rPr>
          <w:rFonts w:cs="Arial" w:ascii="Arial" w:hAnsi="Arial"/>
        </w:rPr>
      </w:r>
    </w:p>
    <w:sectPr>
      <w:footerReference w:type="even" r:id="rId2"/>
      <w:footerReference w:type="default" r:id="rId3"/>
      <w:type w:val="nextPage"/>
      <w:pgSz w:w="12240" w:h="15840"/>
      <w:pgMar w:left="1296" w:right="1296" w:gutter="0" w:header="0" w:top="1440"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24" w:leader="none"/>
        <w:tab w:val="right" w:pos="9648" w:leader="none"/>
      </w:tabs>
      <w:rPr/>
    </w:pPr>
    <w:r>
      <w:rPr/>
      <w:tab/>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83515" cy="173990"/>
              <wp:effectExtent l="0" t="0" r="0" b="0"/>
              <wp:wrapSquare wrapText="bothSides"/>
              <wp:docPr id="1" name="Frame2"/>
              <a:graphic xmlns:a="http://schemas.openxmlformats.org/drawingml/2006/main">
                <a:graphicData uri="http://schemas.microsoft.com/office/word/2010/wordprocessingShape">
                  <wps:wsp>
                    <wps:cNvSpPr txBox="1"/>
                    <wps:spPr>
                      <a:xfrm>
                        <a:off x="0" y="0"/>
                        <a:ext cx="18351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7pt;mso-wrap-distance-left:0pt;mso-wrap-distance-right:0pt;mso-wrap-distance-top:0pt;mso-wrap-distance-bottom:0pt;margin-top:0.05pt;mso-position-vertical-relative:text;margin-left:23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24" w:leader="none"/>
        <w:tab w:val="right" w:pos="9648" w:leader="none"/>
      </w:tabs>
      <w:rPr>
        <w:rFonts w:ascii="Arial" w:hAnsi="Arial" w:cs="Arial"/>
      </w:rPr>
    </w:pPr>
    <w:r>
      <w:rPr>
        <w:rFonts w:cs="Arial" w:ascii="Arial" w:hAnsi="Arial"/>
      </w:rPr>
      <w:tab/>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83515" cy="173990"/>
              <wp:effectExtent l="0" t="0" r="0" b="0"/>
              <wp:wrapSquare wrapText="bothSides"/>
              <wp:docPr id="2" name="Frame1"/>
              <a:graphic xmlns:a="http://schemas.openxmlformats.org/drawingml/2006/main">
                <a:graphicData uri="http://schemas.microsoft.com/office/word/2010/wordprocessingShape">
                  <wps:wsp>
                    <wps:cNvSpPr txBox="1"/>
                    <wps:spPr>
                      <a:xfrm>
                        <a:off x="0" y="0"/>
                        <a:ext cx="18351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7pt;mso-wrap-distance-left:0pt;mso-wrap-distance-right:0pt;mso-wrap-distance-top:0pt;mso-wrap-distance-bottom:0pt;margin-top:0.05pt;mso-position-vertical-relative:text;margin-left:23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75"/>
  <w:defaultTabStop w:val="720"/>
  <w:autoHyphenation w:val="true"/>
  <w:hyphenationZone w:val="0"/>
  <w:evenAndOddHeaders/>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Courier New" w:hAnsi="Courier;Courier New" w:eastAsia="Times New Roman" w:cs="Courier;Courier New"/>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2000-10-11T11:22:00Z</dcterms:created>
  <dc:creator>Stephen E. Pierce</dc:creator>
  <dc:description/>
  <dc:language>en-CA</dc:language>
  <cp:lastModifiedBy>USS</cp:lastModifiedBy>
  <cp:lastPrinted>2000-05-19T15:27:00Z</cp:lastPrinted>
  <dcterms:modified xsi:type="dcterms:W3CDTF">2000-10-11T11:22:00Z</dcterms:modified>
  <cp:revision>2</cp:revision>
  <dc:subject/>
  <dc:title>	NATURAL GAS SALES AGREEMENT</dc:title>
</cp:coreProperties>
</file>