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>November 14, 2000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CMS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Re:</w:t>
        <w:tab/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Dear 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 xml:space="preserve">As we discussed last month, CMS has requested an interview of Enron Investment Partners (“EIP”) concerning the __________ transaction that was not completed.  As we discussed, EIP is willing to discuss all issues relating to the ________ transaction if and only if CMS agrees to waive and release all claims it has or may have related to the ________ transaction.   I have attached a release for your review and signature.  The purpose of the conversation is to allow CMS access to EIP’s decision making process regarding the _________ transaction.  Once you have signed this letter and the release, I will be happy to schedule a meeting.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>Very truly yours,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>Mark Lay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RBS/cgh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\p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/mnt/main-storage/datasets/enron-docs/doc/CMS_letter_to_Mark_Lay.doc</w:t>
    </w:r>
    <w:r>
      <w:rPr>
        <w:sz w:val="16"/>
        <w:szCs w:val="16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2000-11-14T15:07:00Z</dcterms:created>
  <dc:creator>lnoske</dc:creator>
  <dc:description/>
  <dc:language>en-CA</dc:language>
  <cp:lastModifiedBy>tsweet</cp:lastModifiedBy>
  <cp:lastPrinted>2000-11-14T14:55:00Z</cp:lastPrinted>
  <dcterms:modified xsi:type="dcterms:W3CDTF">2000-11-14T18:25:00Z</dcterms:modified>
  <cp:revision>9</cp:revision>
  <dc:subject/>
  <dc:title/>
</cp:coreProperties>
</file>