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b/>
          <w:sz w:val="24"/>
          <w:u w:val="single"/>
        </w:rPr>
        <w:t>Preliminary Draft - For Discussion Purposes Only</w:t>
      </w:r>
    </w:p>
    <w:p>
      <w:pPr>
        <w:pStyle w:val="Normal"/>
        <w:jc w:val="center"/>
        <w:rPr>
          <w:sz w:val="24"/>
        </w:rPr>
      </w:pPr>
      <w:r>
        <w:rPr>
          <w:sz w:val="24"/>
        </w:rPr>
      </w:r>
    </w:p>
    <w:p>
      <w:pPr>
        <w:pStyle w:val="Normal"/>
        <w:jc w:val="center"/>
        <w:rPr>
          <w:b/>
          <w:sz w:val="24"/>
        </w:rPr>
      </w:pPr>
      <w:r>
        <w:rPr>
          <w:b/>
          <w:sz w:val="24"/>
        </w:rPr>
        <w:t>ENRON NORTH AMERICA CORP. (“ENA”)</w:t>
      </w:r>
    </w:p>
    <w:p>
      <w:pPr>
        <w:pStyle w:val="Normal"/>
        <w:jc w:val="center"/>
        <w:rPr>
          <w:b/>
          <w:sz w:val="24"/>
        </w:rPr>
      </w:pPr>
      <w:r>
        <w:rPr>
          <w:b/>
          <w:sz w:val="24"/>
        </w:rPr>
      </w:r>
    </w:p>
    <w:p>
      <w:pPr>
        <w:pStyle w:val="Normal"/>
        <w:jc w:val="center"/>
        <w:rPr>
          <w:b/>
          <w:sz w:val="24"/>
        </w:rPr>
      </w:pPr>
      <w:r>
        <w:rPr>
          <w:b/>
          <w:sz w:val="24"/>
        </w:rPr>
        <w:t>Draft Proposal</w:t>
      </w:r>
    </w:p>
    <w:p>
      <w:pPr>
        <w:pStyle w:val="Normal"/>
        <w:jc w:val="center"/>
        <w:rPr>
          <w:b/>
          <w:sz w:val="24"/>
        </w:rPr>
      </w:pPr>
      <w:r>
        <w:rPr>
          <w:b/>
          <w:sz w:val="24"/>
        </w:rPr>
        <w:t>for</w:t>
      </w:r>
    </w:p>
    <w:p>
      <w:pPr>
        <w:pStyle w:val="Normal"/>
        <w:jc w:val="center"/>
        <w:rPr>
          <w:b/>
          <w:sz w:val="24"/>
        </w:rPr>
      </w:pPr>
      <w:r>
        <w:rPr>
          <w:b/>
          <w:sz w:val="24"/>
        </w:rPr>
        <w:t>CMS Marketing, Services and Trading Company (“CMS”)</w:t>
      </w:r>
    </w:p>
    <w:p>
      <w:pPr>
        <w:pStyle w:val="Normal"/>
        <w:jc w:val="center"/>
        <w:rPr>
          <w:b/>
          <w:sz w:val="24"/>
        </w:rPr>
      </w:pPr>
      <w:r>
        <w:rPr>
          <w:b/>
          <w:sz w:val="24"/>
        </w:rPr>
      </w:r>
    </w:p>
    <w:p>
      <w:pPr>
        <w:pStyle w:val="Normal"/>
        <w:jc w:val="center"/>
        <w:rPr>
          <w:b/>
          <w:sz w:val="24"/>
        </w:rPr>
      </w:pPr>
      <w:r>
        <w:rPr>
          <w:b/>
          <w:sz w:val="24"/>
        </w:rPr>
        <w:t>January 13, 2000</w:t>
      </w:r>
    </w:p>
    <w:p>
      <w:pPr>
        <w:pStyle w:val="Normal"/>
        <w:jc w:val="center"/>
        <w:rPr>
          <w:b/>
          <w:sz w:val="24"/>
        </w:rPr>
      </w:pPr>
      <w:r>
        <w:rPr>
          <w:b/>
          <w:sz w:val="24"/>
        </w:rPr>
      </w:r>
    </w:p>
    <w:p>
      <w:pPr>
        <w:pStyle w:val="Normal"/>
        <w:ind w:hanging="2552" w:start="2552" w:end="0"/>
        <w:rPr>
          <w:sz w:val="24"/>
          <w:lang w:val="es-AR"/>
        </w:rPr>
      </w:pPr>
      <w:r>
        <w:rPr>
          <w:sz w:val="24"/>
          <w:lang w:val="es-AR"/>
        </w:rPr>
      </w:r>
    </w:p>
    <w:p>
      <w:pPr>
        <w:pStyle w:val="Normal"/>
        <w:ind w:hanging="2070" w:start="2070" w:end="0"/>
        <w:rPr>
          <w:sz w:val="24"/>
          <w:lang w:val="es-AR"/>
        </w:rPr>
      </w:pPr>
      <w:r>
        <w:rPr>
          <w:sz w:val="24"/>
          <w:lang w:val="es-AR"/>
        </w:rPr>
        <w:t>Structure:</w:t>
        <w:tab/>
        <w:t>Energy Commodity Swap</w:t>
      </w:r>
    </w:p>
    <w:p>
      <w:pPr>
        <w:pStyle w:val="Normal"/>
        <w:ind w:hanging="2070" w:start="2070" w:end="0"/>
        <w:rPr>
          <w:sz w:val="24"/>
          <w:lang w:val="es-AR"/>
        </w:rPr>
      </w:pPr>
      <w:r>
        <w:rPr>
          <w:sz w:val="24"/>
          <w:lang w:val="es-AR"/>
        </w:rPr>
      </w:r>
    </w:p>
    <w:p>
      <w:pPr>
        <w:pStyle w:val="Normal"/>
        <w:ind w:hanging="2070" w:start="2070" w:end="0"/>
        <w:rPr>
          <w:sz w:val="24"/>
          <w:lang w:val="es-AR"/>
        </w:rPr>
      </w:pPr>
      <w:r>
        <w:rPr>
          <w:sz w:val="24"/>
          <w:lang w:val="es-AR"/>
        </w:rPr>
        <w:t>Contract:</w:t>
        <w:tab/>
        <w:t>ISDA Master Agreement dated October 24, 1997 but effective as of April 8, 1997 between ENA and CMS</w:t>
      </w:r>
    </w:p>
    <w:p>
      <w:pPr>
        <w:pStyle w:val="Heading1"/>
        <w:ind w:hanging="2070" w:start="2070" w:end="0"/>
        <w:rPr>
          <w:u w:val="single"/>
        </w:rPr>
      </w:pPr>
      <w:r>
        <w:rPr/>
        <w:t>General Terms:</w:t>
      </w:r>
    </w:p>
    <w:p>
      <w:pPr>
        <w:pStyle w:val="Normal"/>
        <w:rPr>
          <w:sz w:val="24"/>
          <w:u w:val="single"/>
        </w:rPr>
      </w:pPr>
      <w:r>
        <w:rPr>
          <w:sz w:val="24"/>
          <w:u w:val="single"/>
        </w:rPr>
      </w:r>
    </w:p>
    <w:p>
      <w:pPr>
        <w:pStyle w:val="Normal"/>
        <w:tabs>
          <w:tab w:val="clear" w:pos="720"/>
          <w:tab w:val="left" w:pos="540" w:leader="none"/>
          <w:tab w:val="left" w:pos="4536" w:leader="none"/>
        </w:tabs>
        <w:ind w:hanging="3060" w:start="3060" w:end="0"/>
        <w:rPr>
          <w:sz w:val="24"/>
          <w:lang w:val="es-AR"/>
        </w:rPr>
      </w:pPr>
      <w:r>
        <w:rPr>
          <w:sz w:val="24"/>
          <w:lang w:val="es-AR"/>
        </w:rPr>
        <w:tab/>
        <w:t xml:space="preserve">Effective Date:  </w:t>
        <w:tab/>
        <w:t>March 1, 2000, hour 00:00</w:t>
      </w:r>
    </w:p>
    <w:p>
      <w:pPr>
        <w:pStyle w:val="Normal"/>
        <w:tabs>
          <w:tab w:val="clear" w:pos="720"/>
          <w:tab w:val="left" w:pos="4536" w:leader="none"/>
        </w:tabs>
        <w:ind w:hanging="2970" w:start="2970" w:end="0"/>
        <w:rPr>
          <w:sz w:val="24"/>
          <w:lang w:val="es-AR"/>
        </w:rPr>
      </w:pPr>
      <w:r>
        <w:rPr>
          <w:sz w:val="24"/>
          <w:lang w:val="es-AR"/>
        </w:rPr>
      </w:r>
    </w:p>
    <w:p>
      <w:pPr>
        <w:pStyle w:val="Heading2"/>
        <w:tabs>
          <w:tab w:val="clear" w:pos="2127"/>
          <w:tab w:val="left" w:pos="540" w:leader="none"/>
          <w:tab w:val="left" w:pos="4253" w:leader="none"/>
        </w:tabs>
        <w:ind w:hanging="3060" w:start="3060" w:end="0"/>
        <w:rPr/>
      </w:pPr>
      <w:r>
        <w:rPr/>
        <w:tab/>
        <w:t>Termination Date:</w:t>
        <w:tab/>
        <w:t>Alternative 1:</w:t>
        <w:tab/>
        <w:t>August 31, 2000, hour 24:00</w:t>
      </w:r>
    </w:p>
    <w:p>
      <w:pPr>
        <w:pStyle w:val="Heading1"/>
        <w:tabs>
          <w:tab w:val="clear" w:pos="720"/>
          <w:tab w:val="left" w:pos="2552" w:leader="none"/>
          <w:tab w:val="left" w:pos="4253" w:leader="none"/>
        </w:tabs>
        <w:ind w:hanging="3060" w:start="3060" w:end="0"/>
        <w:rPr>
          <w:lang w:val="en-US"/>
        </w:rPr>
      </w:pPr>
      <w:r>
        <w:rPr>
          <w:lang w:val="en-US"/>
        </w:rPr>
        <w:tab/>
        <w:tab/>
        <w:t>Alternative 2:</w:t>
        <w:tab/>
        <w:t>February 28, 2001, hour 24:00</w:t>
      </w:r>
    </w:p>
    <w:p>
      <w:pPr>
        <w:pStyle w:val="Heading1"/>
        <w:tabs>
          <w:tab w:val="clear" w:pos="720"/>
          <w:tab w:val="left" w:pos="2552" w:leader="none"/>
          <w:tab w:val="left" w:pos="4253" w:leader="none"/>
        </w:tabs>
        <w:ind w:hanging="3060" w:start="3060" w:end="0"/>
        <w:rPr>
          <w:lang w:val="en-US"/>
        </w:rPr>
      </w:pPr>
      <w:r>
        <w:rPr>
          <w:lang w:val="en-US"/>
        </w:rPr>
        <w:tab/>
        <w:tab/>
        <w:t>Alternative 3:</w:t>
        <w:tab/>
        <w:t>February 28, 2002, hour 24:00</w:t>
      </w:r>
    </w:p>
    <w:p>
      <w:pPr>
        <w:pStyle w:val="Normal"/>
        <w:ind w:hanging="3060" w:start="3060" w:end="0"/>
        <w:rPr>
          <w:sz w:val="24"/>
          <w:lang w:val="en-US"/>
        </w:rPr>
      </w:pPr>
      <w:r>
        <w:rPr>
          <w:sz w:val="24"/>
          <w:lang w:val="en-US"/>
        </w:rPr>
      </w:r>
    </w:p>
    <w:p>
      <w:pPr>
        <w:pStyle w:val="BodyTextIndent2"/>
        <w:tabs>
          <w:tab w:val="clear" w:pos="2127"/>
          <w:tab w:val="left" w:pos="540" w:leader="none"/>
          <w:tab w:val="left" w:pos="4320" w:leader="none"/>
        </w:tabs>
        <w:ind w:hanging="3060" w:start="3060" w:end="0"/>
        <w:rPr/>
      </w:pPr>
      <w:r>
        <w:rPr/>
        <w:tab/>
        <w:t>Notional Quantity:</w:t>
        <w:tab/>
        <w:t>40 MWh for each hour during the term of each alternative</w:t>
      </w:r>
    </w:p>
    <w:p>
      <w:pPr>
        <w:pStyle w:val="BodyTextIndent2"/>
        <w:tabs>
          <w:tab w:val="clear" w:pos="2127"/>
          <w:tab w:val="left" w:pos="4536" w:leader="none"/>
        </w:tabs>
        <w:rPr/>
      </w:pPr>
      <w:r>
        <w:rPr/>
      </w:r>
    </w:p>
    <w:p>
      <w:pPr>
        <w:pStyle w:val="Heading2"/>
        <w:tabs>
          <w:tab w:val="clear" w:pos="2127"/>
          <w:tab w:val="left" w:pos="540" w:leader="none"/>
          <w:tab w:val="left" w:pos="4253" w:leader="none"/>
        </w:tabs>
        <w:ind w:hanging="3060" w:start="3060" w:end="0"/>
        <w:rPr/>
      </w:pPr>
      <w:r>
        <w:rPr/>
        <w:tab/>
        <w:t>Total Notional Quantity:</w:t>
        <w:tab/>
        <w:t>Alternative 1:</w:t>
        <w:tab/>
        <w:t>176,640 MWh</w:t>
      </w:r>
    </w:p>
    <w:p>
      <w:pPr>
        <w:pStyle w:val="Heading2"/>
        <w:tabs>
          <w:tab w:val="clear" w:pos="2127"/>
          <w:tab w:val="left" w:pos="720" w:leader="none"/>
          <w:tab w:val="left" w:pos="4253" w:leader="none"/>
        </w:tabs>
        <w:ind w:hanging="3060" w:start="3060" w:end="0"/>
        <w:rPr>
          <w:lang w:val="en-US"/>
        </w:rPr>
      </w:pPr>
      <w:r>
        <w:rPr>
          <w:lang w:val="en-US"/>
        </w:rPr>
        <w:tab/>
        <w:tab/>
        <w:t>Alternative 2:</w:t>
        <w:tab/>
        <w:t>350</w:t>
      </w:r>
      <w:r>
        <w:rPr/>
        <w:t>,400 MWh</w:t>
      </w:r>
    </w:p>
    <w:p>
      <w:pPr>
        <w:pStyle w:val="BodyTextIndent2"/>
        <w:tabs>
          <w:tab w:val="clear" w:pos="2127"/>
          <w:tab w:val="left" w:pos="720" w:leader="none"/>
          <w:tab w:val="left" w:pos="4253" w:leader="none"/>
        </w:tabs>
        <w:ind w:hanging="3060" w:start="3060" w:end="0"/>
        <w:rPr/>
      </w:pPr>
      <w:r>
        <w:rPr>
          <w:lang w:val="en-US"/>
        </w:rPr>
        <w:tab/>
        <w:tab/>
        <w:t>Alternative 3:</w:t>
        <w:tab/>
      </w:r>
      <w:r>
        <w:rPr/>
        <w:t>700,800 MWh</w:t>
      </w:r>
    </w:p>
    <w:p>
      <w:pPr>
        <w:pStyle w:val="Normal"/>
        <w:tabs>
          <w:tab w:val="clear" w:pos="720"/>
          <w:tab w:val="left" w:pos="3969" w:leader="none"/>
          <w:tab w:val="left" w:pos="4536" w:leader="none"/>
        </w:tabs>
        <w:ind w:hanging="2552" w:start="2552" w:end="0"/>
        <w:rPr>
          <w:sz w:val="24"/>
          <w:lang w:val="es-AR"/>
        </w:rPr>
      </w:pPr>
      <w:r>
        <w:rPr>
          <w:sz w:val="24"/>
          <w:lang w:val="es-AR"/>
        </w:rPr>
      </w:r>
    </w:p>
    <w:p>
      <w:pPr>
        <w:pStyle w:val="Heading2"/>
        <w:tabs>
          <w:tab w:val="clear" w:pos="2127"/>
          <w:tab w:val="left" w:pos="540" w:leader="none"/>
          <w:tab w:val="left" w:pos="4253" w:leader="none"/>
        </w:tabs>
        <w:ind w:hanging="3060" w:start="3060" w:end="0"/>
        <w:rPr/>
      </w:pPr>
      <w:r>
        <w:rPr/>
        <w:tab/>
        <w:t>Calculation Period(s):</w:t>
        <w:tab/>
        <w:t>Each calendar month beginning with March 1, 2000 and ending:</w:t>
      </w:r>
    </w:p>
    <w:p>
      <w:pPr>
        <w:pStyle w:val="Heading2"/>
        <w:tabs>
          <w:tab w:val="clear" w:pos="2127"/>
          <w:tab w:val="left" w:pos="4253" w:leader="none"/>
        </w:tabs>
        <w:ind w:hanging="3060" w:start="3060" w:end="0"/>
        <w:rPr/>
      </w:pPr>
      <w:r>
        <w:rPr/>
        <w:tab/>
        <w:t>Alternative 1:</w:t>
        <w:tab/>
        <w:t>August 31, 2000</w:t>
      </w:r>
    </w:p>
    <w:p>
      <w:pPr>
        <w:pStyle w:val="Heading1"/>
        <w:tabs>
          <w:tab w:val="clear" w:pos="720"/>
          <w:tab w:val="left" w:pos="2552" w:leader="none"/>
          <w:tab w:val="left" w:pos="4253" w:leader="none"/>
        </w:tabs>
        <w:ind w:hanging="3060" w:start="3060" w:end="0"/>
        <w:rPr>
          <w:lang w:val="en-US"/>
        </w:rPr>
      </w:pPr>
      <w:r>
        <w:rPr>
          <w:lang w:val="en-US"/>
        </w:rPr>
        <w:tab/>
        <w:tab/>
        <w:t>Alternative 2:</w:t>
        <w:tab/>
        <w:t>February 28, 2001</w:t>
      </w:r>
    </w:p>
    <w:p>
      <w:pPr>
        <w:pStyle w:val="Heading1"/>
        <w:tabs>
          <w:tab w:val="clear" w:pos="720"/>
          <w:tab w:val="left" w:pos="2552" w:leader="none"/>
          <w:tab w:val="left" w:pos="4253" w:leader="none"/>
        </w:tabs>
        <w:ind w:hanging="3060" w:start="3060" w:end="0"/>
        <w:rPr>
          <w:lang w:val="en-US"/>
        </w:rPr>
      </w:pPr>
      <w:r>
        <w:rPr>
          <w:lang w:val="en-US"/>
        </w:rPr>
        <w:tab/>
        <w:tab/>
        <w:t>Alternative 3:</w:t>
        <w:tab/>
        <w:t>February 28, 2002</w:t>
      </w:r>
    </w:p>
    <w:p>
      <w:pPr>
        <w:pStyle w:val="BodyTextIndent"/>
        <w:tabs>
          <w:tab w:val="clear" w:pos="2127"/>
        </w:tabs>
        <w:ind w:hanging="2552" w:start="2552" w:end="0"/>
        <w:rPr>
          <w:lang w:val="en-US"/>
        </w:rPr>
      </w:pPr>
      <w:r>
        <w:rPr>
          <w:lang w:val="en-US"/>
        </w:rPr>
      </w:r>
    </w:p>
    <w:p>
      <w:pPr>
        <w:pStyle w:val="BodyTextIndent"/>
        <w:tabs>
          <w:tab w:val="clear" w:pos="2127"/>
        </w:tabs>
        <w:ind w:hanging="2520" w:start="3060" w:end="0"/>
        <w:rPr/>
      </w:pPr>
      <w:r>
        <w:rPr/>
        <w:t>Payment Date(s):</w:t>
        <w:tab/>
        <w:t>The fifth (5</w:t>
      </w:r>
      <w:r>
        <w:rPr>
          <w:vertAlign w:val="superscript"/>
        </w:rPr>
        <w:t>th</w:t>
      </w:r>
      <w:r>
        <w:rPr/>
        <w:t>) Business Day following the date on which the Floating Price is determinable for each Calculation Period</w:t>
      </w:r>
    </w:p>
    <w:p>
      <w:pPr>
        <w:pStyle w:val="BodyTextIndent"/>
        <w:tabs>
          <w:tab w:val="clear" w:pos="2127"/>
        </w:tabs>
        <w:ind w:hanging="2552" w:start="2552" w:end="0"/>
        <w:rPr/>
      </w:pPr>
      <w:r>
        <w:rPr/>
      </w:r>
    </w:p>
    <w:p>
      <w:pPr>
        <w:pStyle w:val="BodyTextIndent"/>
        <w:tabs>
          <w:tab w:val="clear" w:pos="2127"/>
        </w:tabs>
        <w:ind w:hanging="2520" w:start="3060" w:end="0"/>
        <w:rPr/>
      </w:pPr>
      <w:r>
        <w:rPr/>
        <w:t>Fixed Price Payer:</w:t>
        <w:tab/>
        <w:t>CMS</w:t>
      </w:r>
    </w:p>
    <w:p>
      <w:pPr>
        <w:pStyle w:val="BodyTextIndent"/>
        <w:tabs>
          <w:tab w:val="clear" w:pos="2127"/>
        </w:tabs>
        <w:ind w:hanging="2520" w:start="3060" w:end="0"/>
        <w:rPr/>
      </w:pPr>
      <w:r>
        <w:rPr/>
      </w:r>
    </w:p>
    <w:p>
      <w:pPr>
        <w:pStyle w:val="BodyTextIndent"/>
        <w:tabs>
          <w:tab w:val="clear" w:pos="2127"/>
        </w:tabs>
        <w:ind w:hanging="2520" w:start="3060" w:end="0"/>
        <w:rPr/>
      </w:pPr>
      <w:r>
        <w:rPr/>
        <w:t>Floating Price Payer:</w:t>
        <w:tab/>
        <w:t>ENA</w:t>
      </w:r>
    </w:p>
    <w:p>
      <w:pPr>
        <w:pStyle w:val="BodyTextIndent"/>
        <w:tabs>
          <w:tab w:val="clear" w:pos="2127"/>
        </w:tabs>
        <w:ind w:hanging="1620" w:start="2552" w:end="0"/>
        <w:rPr/>
      </w:pPr>
      <w:r>
        <w:rPr/>
      </w:r>
    </w:p>
    <w:p>
      <w:pPr>
        <w:pStyle w:val="BodyText"/>
        <w:ind w:hanging="2520" w:start="3060" w:end="0"/>
        <w:rPr/>
      </w:pPr>
      <w:r>
        <w:rPr/>
        <w:t>Fixed Price:</w:t>
        <w:tab/>
        <w:t>Looking for indicative Fixed Prices for Alternatives 1, 2 and 3, according to terms and conditions specified above.</w:t>
      </w:r>
    </w:p>
    <w:p>
      <w:pPr>
        <w:pStyle w:val="Normal"/>
        <w:ind w:hanging="2552" w:start="2552" w:end="0"/>
        <w:rPr>
          <w:sz w:val="24"/>
          <w:lang w:val="es-AR"/>
        </w:rPr>
      </w:pPr>
      <w:r>
        <w:rPr>
          <w:sz w:val="24"/>
          <w:lang w:val="es-AR"/>
        </w:rPr>
      </w:r>
    </w:p>
    <w:p>
      <w:pPr>
        <w:pStyle w:val="BodyTextIndent"/>
        <w:tabs>
          <w:tab w:val="clear" w:pos="2127"/>
        </w:tabs>
        <w:ind w:hanging="2520" w:start="3060" w:end="0"/>
        <w:rPr/>
      </w:pPr>
      <w:r>
        <w:rPr/>
        <w:t>Floating Price:</w:t>
        <w:tab/>
        <w:t xml:space="preserve">The average of all the hourly prices during each Calculation Period as published electronically in the “Documento de Transacciones Económicas” (DTE) under the annex set forth in the “Generadores” file labeled “A1.7 Precios Del Mercado en $/MWH – Mercado” by </w:t>
      </w:r>
      <w:r>
        <w:rPr>
          <w:sz w:val="22"/>
        </w:rPr>
        <w:t>the “Compañia Administradora del Mercado Mayorista Eléctrico Sociedad Anónima” (“CAMMESA”)</w:t>
      </w:r>
    </w:p>
    <w:p>
      <w:pPr>
        <w:pStyle w:val="BodyTextIndent"/>
        <w:tabs>
          <w:tab w:val="clear" w:pos="2127"/>
        </w:tabs>
        <w:ind w:hanging="2520" w:start="3060" w:end="0"/>
        <w:rPr/>
      </w:pPr>
      <w:r>
        <w:rPr/>
      </w:r>
    </w:p>
    <w:p>
      <w:pPr>
        <w:pStyle w:val="BodyTextIndent"/>
        <w:tabs>
          <w:tab w:val="clear" w:pos="2127"/>
        </w:tabs>
        <w:ind w:hanging="2520" w:start="3060" w:end="0"/>
        <w:rPr/>
      </w:pPr>
      <w:r>
        <w:rPr/>
        <w:tab/>
        <w:t>The Floating Amounts payable shall be made in US Dollars, and the exchange rate shall be of one Argentine Peso per US Dollar.</w:t>
      </w:r>
    </w:p>
    <w:p>
      <w:pPr>
        <w:pStyle w:val="BodyTextIndent"/>
        <w:tabs>
          <w:tab w:val="clear" w:pos="2127"/>
        </w:tabs>
        <w:ind w:hanging="2552" w:start="2552" w:end="0"/>
        <w:rPr/>
      </w:pPr>
      <w:r>
        <w:rPr/>
      </w:r>
    </w:p>
    <w:sectPr>
      <w:footerReference w:type="default" r:id="rId2"/>
      <w:type w:val="nextPage"/>
      <w:pgSz w:w="12240" w:h="15840"/>
      <w:pgMar w:left="1440" w:right="1440" w:gutter="0" w:header="0" w:top="720" w:footer="30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b/>
        <w:i/>
        <w:i/>
        <w:sz w:val="18"/>
      </w:rPr>
    </w:pPr>
    <w:r>
      <w:rPr>
        <w:b/>
        <w:i/>
        <w:sz w:val="18"/>
      </w:rPr>
    </w:r>
  </w:p>
  <w:p>
    <w:pPr>
      <w:pStyle w:val="Footer"/>
      <w:jc w:val="both"/>
      <w:rPr>
        <w:b/>
        <w:i/>
        <w:i/>
        <w:sz w:val="18"/>
      </w:rPr>
    </w:pPr>
    <w:r>
      <w:rPr>
        <w:b/>
        <w:i/>
        <w:sz w:val="18"/>
      </w:rPr>
      <w:t>All figures and analysis based upon information provided by ENA.  Any transaction is conditioned upon results of a due diligence review.  No due diligence has been conducted by ENA, its affiliates or representatives.  The figures shown are subject to change based upon further review and due diligence, as well as movements in forward commodity prices and interest rates.  This draft does not create and is not intended to create a binding and enforceable contract or commitment, and may not be relied upon by either party as the basis for a contract by estoppel or otherwise.</w:t>
    </w:r>
  </w:p>
  <w:p>
    <w:pPr>
      <w:pStyle w:val="Footer"/>
      <w:tabs>
        <w:tab w:val="clear" w:pos="4320"/>
        <w:tab w:val="clear" w:pos="8640"/>
      </w:tabs>
      <w:rPr>
        <w:b/>
        <w:i/>
        <w:i/>
        <w:sz w:val="16"/>
      </w:rPr>
    </w:pPr>
    <w:r>
      <w:rPr>
        <w:b/>
        <w:i/>
        <w:sz w:val="16"/>
      </w:rPr>
    </w:r>
  </w:p>
  <w:p>
    <w:pPr>
      <w:pStyle w:val="Footer"/>
      <w:tabs>
        <w:tab w:val="clear" w:pos="4320"/>
        <w:tab w:val="clear" w:pos="8640"/>
      </w:tabs>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/mnt/main-storage/datasets/enron-docs/doc/CMS_Marketing.doc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sz w:val="24"/>
      <w:lang w:val="es-AR"/>
    </w:rPr>
  </w:style>
  <w:style w:type="paragraph" w:styleId="Heading2">
    <w:name w:val="heading 2"/>
    <w:basedOn w:val="Normal"/>
    <w:next w:val="Normal"/>
    <w:qFormat/>
    <w:pPr>
      <w:keepNext w:val="true"/>
      <w:numPr>
        <w:ilvl w:val="1"/>
        <w:numId w:val="1"/>
      </w:numPr>
      <w:tabs>
        <w:tab w:val="clear" w:pos="720"/>
        <w:tab w:val="left" w:pos="2127" w:leader="none"/>
      </w:tabs>
      <w:ind w:hanging="2127" w:start="2127" w:end="0"/>
      <w:outlineLvl w:val="1"/>
    </w:pPr>
    <w:rPr>
      <w:sz w:val="24"/>
      <w:lang w:val="es-AR"/>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
    <w:qFormat/>
    <w:pPr>
      <w:keepNext w:val="true"/>
      <w:numPr>
        <w:ilvl w:val="3"/>
        <w:numId w:val="1"/>
      </w:numPr>
      <w:jc w:val="end"/>
      <w:outlineLvl w:val="3"/>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es-A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ang2">
    <w:name w:val="hang2"/>
    <w:basedOn w:val="Normal"/>
    <w:next w:val="Normal"/>
    <w:qFormat/>
    <w:pPr>
      <w:ind w:hanging="288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Number">
    <w:name w:val="List Number"/>
    <w:basedOn w:val="Normal"/>
    <w:qFormat/>
    <w:pPr>
      <w:numPr>
        <w:ilvl w:val="0"/>
        <w:numId w:val="2"/>
      </w:numPr>
      <w:ind w:hanging="720" w:start="720" w:end="0"/>
    </w:pPr>
    <w:rPr/>
  </w:style>
  <w:style w:type="paragraph" w:styleId="ListNumber2">
    <w:name w:val="List Number 2"/>
    <w:basedOn w:val="Normal"/>
    <w:qFormat/>
    <w:pPr>
      <w:numPr>
        <w:ilvl w:val="0"/>
        <w:numId w:val="3"/>
      </w:numPr>
      <w:spacing w:before="0" w:after="120"/>
      <w:ind w:hanging="720" w:start="1440" w:end="0"/>
    </w:pPr>
    <w:rPr/>
  </w:style>
  <w:style w:type="paragraph" w:styleId="ListNumber3">
    <w:name w:val="List Number 3"/>
    <w:basedOn w:val="Normal"/>
    <w:qFormat/>
    <w:pPr>
      <w:numPr>
        <w:ilvl w:val="0"/>
        <w:numId w:val="4"/>
      </w:numPr>
      <w:spacing w:before="0" w:after="120"/>
      <w:ind w:hanging="720" w:start="1440" w:end="0"/>
    </w:pPr>
    <w:rPr/>
  </w:style>
  <w:style w:type="paragraph" w:styleId="BodyTextIndent">
    <w:name w:val="Body Text Indent"/>
    <w:basedOn w:val="Normal"/>
    <w:pPr>
      <w:tabs>
        <w:tab w:val="clear" w:pos="720"/>
        <w:tab w:val="left" w:pos="2127" w:leader="none"/>
      </w:tabs>
      <w:ind w:hanging="2127" w:start="2127" w:end="0"/>
    </w:pPr>
    <w:rPr>
      <w:sz w:val="24"/>
      <w:lang w:val="es-AR"/>
    </w:rPr>
  </w:style>
  <w:style w:type="paragraph" w:styleId="BodyTextIndent2">
    <w:name w:val="Body Text Indent 2"/>
    <w:basedOn w:val="Normal"/>
    <w:qFormat/>
    <w:pPr>
      <w:tabs>
        <w:tab w:val="clear" w:pos="720"/>
        <w:tab w:val="left" w:pos="2127" w:leader="none"/>
      </w:tabs>
      <w:ind w:hanging="2552" w:start="2552" w:end="0"/>
    </w:pPr>
    <w:rPr>
      <w:sz w:val="24"/>
      <w:lang w:val="es-A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2000-01-12T18:22:00Z</dcterms:created>
  <dc:creator>Susan L. Wadle</dc:creator>
  <dc:description/>
  <dc:language>en-CA</dc:language>
  <cp:lastModifiedBy>kaye ellis</cp:lastModifiedBy>
  <cp:lastPrinted>2000-01-12T17:09:00Z</cp:lastPrinted>
  <dcterms:modified xsi:type="dcterms:W3CDTF">2000-01-12T20:40:00Z</dcterms:modified>
  <cp:revision>8</cp:revision>
  <dc:subject/>
  <dc:title>Preliminary Draft - For Discussion Purposes Only</dc:title>
</cp:coreProperties>
</file>