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r>
        <w:rPr/>
        <w:tab/>
        <w:tab/>
      </w:r>
    </w:p>
    <w:p>
      <w:pPr>
        <w:pStyle w:val="Heading"/>
        <w:jc w:val="end"/>
        <w:rPr/>
      </w:pPr>
      <w:r>
        <w:rPr/>
        <w:t>DRAFT 1/31/01</w:t>
        <w:tab/>
        <w:tab/>
        <w:tab/>
      </w:r>
    </w:p>
    <w:p>
      <w:pPr>
        <w:pStyle w:val="Heading"/>
        <w:jc w:val="end"/>
        <w:rPr/>
      </w:pPr>
      <w:r>
        <w:rPr/>
        <w:t>Privileged and Confidential</w:t>
      </w:r>
    </w:p>
    <w:p>
      <w:pPr>
        <w:pStyle w:val="Heading"/>
        <w:jc w:val="end"/>
        <w:rPr>
          <w:sz w:val="20"/>
        </w:rPr>
      </w:pPr>
      <w:r>
        <w:rPr>
          <w:sz w:val="20"/>
        </w:rPr>
        <w:t>Subject to Attorney-Client Privilege</w:t>
      </w:r>
    </w:p>
    <w:p>
      <w:pPr>
        <w:pStyle w:val="Heading"/>
        <w:jc w:val="end"/>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Elizabeth Sager and Mark Haedicke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Janice Moore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ECT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Wholesale Power Supply Contract between Central Maine Power Co. and Enron Power Marketing, Inc. (“WPSA”) – Risk Memo</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__, 2001</w:t>
            </w:r>
          </w:p>
        </w:tc>
      </w:tr>
    </w:tbl>
    <w:p>
      <w:pPr>
        <w:pStyle w:val="Body"/>
        <w:rPr/>
      </w:pPr>
      <w:r>
        <w:rPr/>
      </w:r>
      <w:bookmarkStart w:id="1" w:name="StartOfMemo"/>
      <w:bookmarkStart w:id="2" w:name="StartOfMemo"/>
      <w:bookmarkEnd w:id="2"/>
    </w:p>
    <w:p>
      <w:pPr>
        <w:pStyle w:val="BodyTextIndent"/>
        <w:rPr>
          <w:sz w:val="20"/>
        </w:rPr>
      </w:pPr>
      <w:r>
        <w:rPr>
          <w:sz w:val="20"/>
        </w:rPr>
        <w:t xml:space="preserve">The WPSA provides that Enron Power Marketing, Inc. (“EPMI”) will provide [100%] of the power requirements to Central  Maine Power Company (“CMP”) as needed to serve CMP’s medium non-residential class of customers receiving Standard Offer Service (the “Retail Customers”).  The term of the WPSA is one year at a fixed price; but Enron has an option to extend the term each year for three additional one-year terms (each an “Extension Term”), in each case, at an index price subject to a floor and a cap that varies for each Extension Term (the index price is based on gas futures contracts and will be known on the date on which EPMI must decide whether to exercise its option).  </w:t>
      </w:r>
    </w:p>
    <w:p>
      <w:pPr>
        <w:pStyle w:val="Body"/>
        <w:ind w:start="90" w:end="0"/>
        <w:jc w:val="both"/>
        <w:rPr>
          <w:sz w:val="20"/>
        </w:rPr>
      </w:pPr>
      <w:r>
        <w:rPr>
          <w:sz w:val="20"/>
        </w:rPr>
      </w:r>
    </w:p>
    <w:p>
      <w:pPr>
        <w:pStyle w:val="Body"/>
        <w:ind w:start="90" w:end="0"/>
        <w:jc w:val="both"/>
        <w:rPr/>
      </w:pPr>
      <w:r>
        <w:rPr/>
        <w:t xml:space="preserve">Negotiations of the terms of the WPSA are ongoing.  For example, no credit terms have been agreed.  When negotiations are complete with CMP (including final credit terms), the WPSA will be presented to the Maine Public Utility Commission (the ”MPUC”).  If the MPUC approves the WPSA, an order will be issued instructing CMP to execute the WPSA and setting the rates for the Retail Customers at a level adequate to cover the prices in the WPSA.  East Power and Origination advises that the most significant risk in this transaction is market price risk.  Other risks and mitigants are as follows.  </w:t>
      </w:r>
    </w:p>
    <w:p>
      <w:pPr>
        <w:pStyle w:val="Body"/>
        <w:ind w:start="90" w:end="0"/>
        <w:jc w:val="both"/>
        <w:rPr/>
      </w:pPr>
      <w:r>
        <w:rPr/>
      </w:r>
    </w:p>
    <w:p>
      <w:pPr>
        <w:pStyle w:val="Body"/>
        <w:ind w:start="90" w:end="0"/>
        <w:jc w:val="both"/>
        <w:rPr>
          <w:b/>
          <w:bCs/>
          <w:u w:val="single"/>
        </w:rPr>
      </w:pPr>
      <w:r>
        <w:rPr>
          <w:b/>
          <w:bCs/>
          <w:u w:val="single"/>
        </w:rPr>
        <w:t>Products and Load</w:t>
      </w:r>
    </w:p>
    <w:p>
      <w:pPr>
        <w:pStyle w:val="Body"/>
        <w:numPr>
          <w:ilvl w:val="0"/>
          <w:numId w:val="2"/>
        </w:numPr>
        <w:jc w:val="both"/>
        <w:rPr/>
      </w:pPr>
      <w:r>
        <w:rPr/>
        <w:t>EPMI has a load following supply obligation, similar to the United Illuminating (“UI”) and NSTAR Companies (“NSTAR”) transactions.  Unlike those transactions, however, EPMI bears market price risk only with respect to Energy and Installed Capability (“ICAP”) in the first year and for Energy only in subsequent years; and EPMI supplies these requirements only for one customer class.  All ancillary services requirements (such as various reserves) will be provided to CMP, but all of EPMI’s actual costs for such services will be passed through to CMP.  This structure is necessitated by the lack of flexibility in NEPOOL, which does not permit participants to transfer the obligation to provide only certain products to only one class of customers receiving a certain type of service.  In addition, EPMI may assist CMP in hedging its price exposure on ancillary services by agreeing to quote on pricing, terms and conditions on forward contracts.  While this structure increases EPMI’s credit exposure to CMP (by the amount of the receivables for the ancillary services 1.60 compared to $76, it was offered so as to remain competitive in helping CMP serve its load obligations, as ordered by the MPUC.</w:t>
      </w:r>
    </w:p>
    <w:p>
      <w:pPr>
        <w:pStyle w:val="Body"/>
        <w:ind w:start="510" w:end="0"/>
        <w:jc w:val="both"/>
        <w:rPr/>
      </w:pPr>
      <w:r>
        <w:rPr/>
      </w:r>
    </w:p>
    <w:p>
      <w:pPr>
        <w:pStyle w:val="Body"/>
        <w:numPr>
          <w:ilvl w:val="0"/>
          <w:numId w:val="2"/>
        </w:numPr>
        <w:jc w:val="both"/>
        <w:rPr/>
      </w:pPr>
      <w:r>
        <w:rPr/>
        <w:t>EPMI must provide Energy in a fashion that satisfies Maine’s “renewable resource portfolio” requirements; roughly 30% of the Energy must be generated from a qualifying facility (so-called “green energy”).  EPMI could  use the energy generated at Bridgeport RESCO (purchased as part of the UI transaction) to satisfy this requirement or purchase qualifying energy in the market.  If any of these requirements changes, EPMI is not obligated to satisfy such new requirements or provide any new products that might result from such a change.  CMP is permitted to buy from third parties to satisfy such requirements, but must do so in a manner that does not reduce the load served by EPMI (e.g., by purchasing credits if they become available or by exchanging energy).</w:t>
      </w:r>
    </w:p>
    <w:p>
      <w:pPr>
        <w:pStyle w:val="Body"/>
        <w:ind w:start="0" w:end="0"/>
        <w:jc w:val="both"/>
        <w:rPr/>
      </w:pPr>
      <w:r>
        <w:rPr/>
      </w:r>
    </w:p>
    <w:p>
      <w:pPr>
        <w:pStyle w:val="Body"/>
        <w:numPr>
          <w:ilvl w:val="0"/>
          <w:numId w:val="2"/>
        </w:numPr>
        <w:jc w:val="both"/>
        <w:rPr/>
      </w:pPr>
      <w:r>
        <w:rPr/>
        <w:t xml:space="preserve">Fluctuations in load can occur for many reasons, including migration to competitive energy suppliers, weather, and variations in Retail Customer usage or the number of Retail Customers.  The WPSA provides that CMP must pay to EPMI any “opt-out” fees that may be assessed when Retail Customers voluntarily switch to another supplier.  If the current scheme of “opt-out” fees is changed to adversely affect EPMI, EPMI may terminate the WPSA. The WPSA also provides that CMP or any affiliate may only compete for the Retail Customers as permitted by applicable law and MPUC rules.  Enron Regulatory Affairs advises that those rules include the most restrictive Code of Conduct in the U.S., and the only changes since enactment have further restricted the permitted activities of utilities and their affiliates.  Other mitigants are: EPMI is not obligated to provide any new products and CMP must provide load data and forecasts (to supplement EPMI’s internal forecasts) on a best efforts basis.  </w:t>
      </w:r>
    </w:p>
    <w:p>
      <w:pPr>
        <w:pStyle w:val="Body"/>
        <w:ind w:start="0" w:end="0"/>
        <w:jc w:val="both"/>
        <w:rPr/>
      </w:pPr>
      <w:r>
        <w:rPr/>
      </w:r>
    </w:p>
    <w:p>
      <w:pPr>
        <w:pStyle w:val="Body"/>
        <w:ind w:start="0" w:end="0"/>
        <w:jc w:val="both"/>
        <w:rPr/>
      </w:pPr>
      <w:r>
        <w:rPr>
          <w:rFonts w:eastAsia="Arial"/>
          <w:b/>
          <w:bCs/>
        </w:rPr>
        <w:t xml:space="preserve"> </w:t>
      </w:r>
      <w:r>
        <w:rPr>
          <w:b/>
          <w:bCs/>
          <w:u w:val="single"/>
        </w:rPr>
        <w:t>Transmission-Related Risks</w:t>
      </w:r>
    </w:p>
    <w:p>
      <w:pPr>
        <w:pStyle w:val="Body"/>
        <w:jc w:val="both"/>
        <w:rPr/>
      </w:pPr>
      <w:r>
        <w:rPr/>
        <w:t>Under the WPSA, CMP bears all transmission and delivery costs beyond the delivery point, which is NEPOOL PTF.  NEPOOL is expected to implement a Congestion Management System in Q2 2002, at which time, the delivery point will change to any point of interconnection between NEPOOL PTF and CMP’s Local Network System; and EPMI will assume any congestion costs.  The WPSA also gives EPMI the benefit of any congestion rights allocated to CMP.</w:t>
      </w:r>
    </w:p>
    <w:p>
      <w:pPr>
        <w:pStyle w:val="Body"/>
        <w:ind w:start="510" w:end="0"/>
        <w:jc w:val="both"/>
        <w:rPr/>
      </w:pPr>
      <w:r>
        <w:rPr/>
      </w:r>
    </w:p>
    <w:p>
      <w:pPr>
        <w:pStyle w:val="Body"/>
        <w:ind w:start="0" w:end="0"/>
        <w:jc w:val="both"/>
        <w:rPr/>
      </w:pPr>
      <w:r>
        <w:rPr>
          <w:rFonts w:eastAsia="Arial"/>
          <w:b/>
          <w:bCs/>
        </w:rPr>
        <w:t xml:space="preserve"> </w:t>
      </w:r>
      <w:r>
        <w:rPr>
          <w:b/>
          <w:bCs/>
          <w:u w:val="single"/>
        </w:rPr>
        <w:t>Force Majeure</w:t>
      </w:r>
    </w:p>
    <w:p>
      <w:pPr>
        <w:pStyle w:val="Body"/>
        <w:jc w:val="both"/>
        <w:rPr/>
      </w:pPr>
      <w:r>
        <w:rPr/>
        <w:t xml:space="preserve">The WPSA force majeure language is identical to that in the NSTAR contract, so that if NEPOOL cuts the SOS load, EPMI is excused.  The WPSA also expressly permits EPMI to satisfy any or all of its obligations through the pool, and if the pool fails to supply, EPMI is excused.  There is a remote risk that if EPMI covers this position with bilateral contracts, such bilateral contracts might not have the same force majeure provision as the WPSA.  In such a case, the counterparty might declare force majeure and cut EPMI, but EPMI would not be excused under the WPSA and so would have to purchase at the then prevailing NEPOOL clearing price.  This is a remote risk because the delivery point on most NEPOOL contracts is the PTF.  </w:t>
      </w:r>
    </w:p>
    <w:p>
      <w:pPr>
        <w:pStyle w:val="Body"/>
        <w:ind w:firstLine="720" w:start="90" w:end="0"/>
        <w:jc w:val="both"/>
        <w:rPr/>
      </w:pPr>
      <w:r>
        <w:rPr/>
      </w:r>
    </w:p>
    <w:p>
      <w:pPr>
        <w:pStyle w:val="Body"/>
        <w:ind w:start="90" w:end="0"/>
        <w:jc w:val="both"/>
        <w:rPr>
          <w:b/>
          <w:bCs/>
          <w:u w:val="single"/>
        </w:rPr>
      </w:pPr>
      <w:r>
        <w:rPr>
          <w:b/>
          <w:bCs/>
          <w:u w:val="single"/>
        </w:rPr>
        <w:t>Potential Damages for Breach</w:t>
      </w:r>
    </w:p>
    <w:p>
      <w:pPr>
        <w:pStyle w:val="Body"/>
        <w:ind w:start="90" w:end="0"/>
        <w:jc w:val="both"/>
        <w:rPr/>
      </w:pPr>
      <w:r>
        <w:rPr/>
        <w:t>The WPSA provides for Enron’s standard exclusion of indirect, consequential, and punitive damages except for the following circumstances.</w:t>
      </w:r>
    </w:p>
    <w:p>
      <w:pPr>
        <w:pStyle w:val="Body"/>
        <w:numPr>
          <w:ilvl w:val="0"/>
          <w:numId w:val="2"/>
        </w:numPr>
        <w:jc w:val="both"/>
        <w:rPr/>
      </w:pPr>
      <w:r>
        <w:rPr/>
        <w:t>If EPMI fails to use commercially reasonable efforts to provide CMP with the information available for CMP to comply with the MPUC rules requiring disclosure of the type of fuel used to generate energy provided to customers (which rules MPUC has not enforced to date) or the MPUC rules on renewable energy portfolio requirements and if, as a direct result of EPMI’s failure, MPUC sanctions CMP for such non-compliance, EPMI agrees to indemnify CMP for sanctions directly related to EPMI’s failure.</w:t>
      </w:r>
    </w:p>
    <w:p>
      <w:pPr>
        <w:pStyle w:val="Body"/>
        <w:numPr>
          <w:ilvl w:val="0"/>
          <w:numId w:val="2"/>
        </w:numPr>
        <w:jc w:val="both"/>
        <w:rPr/>
      </w:pPr>
      <w:r>
        <w:rPr/>
        <w:t xml:space="preserve">CMP indemnifies EPMI from any claims in respect of any risk management contracts that EPMI may provide for ancillary services or new products.   </w:t>
      </w:r>
    </w:p>
    <w:p>
      <w:pPr>
        <w:pStyle w:val="Body"/>
        <w:ind w:start="90" w:end="0"/>
        <w:jc w:val="both"/>
        <w:rPr/>
      </w:pPr>
      <w:r>
        <w:rPr/>
      </w:r>
    </w:p>
    <w:p>
      <w:pPr>
        <w:pStyle w:val="Body"/>
        <w:ind w:start="90" w:end="0"/>
        <w:jc w:val="both"/>
        <w:rPr>
          <w:b/>
          <w:bCs/>
          <w:u w:val="single"/>
        </w:rPr>
      </w:pPr>
      <w:r>
        <w:rPr>
          <w:b/>
          <w:bCs/>
          <w:u w:val="single"/>
        </w:rPr>
        <w:t>Regulatory/Law Changes</w:t>
      </w:r>
    </w:p>
    <w:p>
      <w:pPr>
        <w:pStyle w:val="Body"/>
        <w:ind w:start="90" w:end="0"/>
        <w:jc w:val="both"/>
        <w:rPr/>
      </w:pPr>
      <w:r>
        <w:rPr/>
        <w:t xml:space="preserve">The WPSA provides that regulatory changes that have or are likely to have an adverse impact on a party will be addressed by amendments to the WPSA.  EPMI agrees to participate in any proceeding when notified by the MPUC that rule changes are under consideration (but EPMI expressly does not submit to MPUC’s jurisdiction or regulation).  In addition, specific regulatory changes have consequences designed to mitigate the anticipated adverse impact on EPMI.  </w:t>
      </w:r>
    </w:p>
    <w:p>
      <w:pPr>
        <w:pStyle w:val="Normal"/>
        <w:tabs>
          <w:tab w:val="left" w:pos="-1440" w:leader="none"/>
          <w:tab w:val="left" w:pos="540" w:leader="none"/>
        </w:tabs>
        <w:ind w:start="90" w:end="0"/>
        <w:jc w:val="both"/>
        <w:rPr>
          <w:sz w:val="20"/>
        </w:rPr>
      </w:pPr>
      <w:r>
        <w:rPr>
          <w:sz w:val="20"/>
        </w:rPr>
      </w:r>
    </w:p>
    <w:p>
      <w:pPr>
        <w:pStyle w:val="Body"/>
        <w:numPr>
          <w:ilvl w:val="0"/>
          <w:numId w:val="2"/>
        </w:numPr>
        <w:jc w:val="both"/>
        <w:rPr/>
      </w:pPr>
      <w:r>
        <w:rPr/>
        <w:t xml:space="preserve">If the current scheme of “opt-out” fees charged to Retail Customers who switch out of SOS is changed so as to adversely affect EPMI, EPMI may terminate the WPSA.    </w:t>
      </w:r>
    </w:p>
    <w:p>
      <w:pPr>
        <w:pStyle w:val="Body"/>
        <w:numPr>
          <w:ilvl w:val="0"/>
          <w:numId w:val="2"/>
        </w:numPr>
        <w:jc w:val="both"/>
        <w:rPr/>
      </w:pPr>
      <w:r>
        <w:rPr/>
        <w:t xml:space="preserve">If the renewable resource requirements change, CMP is permitted to purchase such requirements from a third party but must do so by purchasing credits or exchanging energy so that the load served by EPMI is not reduced.  </w:t>
      </w:r>
    </w:p>
    <w:p>
      <w:pPr>
        <w:pStyle w:val="Body"/>
        <w:numPr>
          <w:ilvl w:val="0"/>
          <w:numId w:val="2"/>
        </w:numPr>
        <w:jc w:val="both"/>
        <w:rPr/>
      </w:pPr>
      <w:r>
        <w:rPr/>
        <w:t>If the Retail Customer class is redefined, CMP must continue to purchase the requirements for the reclassified customers from EPMI unless those customers are no longer receiving service from CMP.</w:t>
      </w:r>
    </w:p>
    <w:p>
      <w:pPr>
        <w:pStyle w:val="Body"/>
        <w:jc w:val="both"/>
        <w:rPr/>
      </w:pPr>
      <w:r>
        <w:rPr/>
      </w:r>
    </w:p>
    <w:p>
      <w:pPr>
        <w:pStyle w:val="Body"/>
        <w:jc w:val="both"/>
        <w:rPr/>
      </w:pPr>
      <w:r>
        <w:rPr/>
        <w:t>The WPSA does not give EPMI protection against any new taxes.</w:t>
      </w:r>
    </w:p>
    <w:p>
      <w:pPr>
        <w:pStyle w:val="Normal"/>
        <w:tabs>
          <w:tab w:val="left" w:pos="-1440" w:leader="none"/>
          <w:tab w:val="left" w:pos="540" w:leader="none"/>
        </w:tabs>
        <w:ind w:firstLine="720" w:start="90" w:end="0"/>
        <w:jc w:val="both"/>
        <w:rPr>
          <w:sz w:val="20"/>
        </w:rPr>
      </w:pPr>
      <w:r>
        <w:rPr>
          <w:sz w:val="20"/>
        </w:rPr>
      </w:r>
    </w:p>
    <w:p>
      <w:pPr>
        <w:pStyle w:val="Body"/>
        <w:ind w:start="90" w:end="0"/>
        <w:jc w:val="both"/>
        <w:rPr>
          <w:b/>
          <w:bCs/>
          <w:u w:val="single"/>
        </w:rPr>
      </w:pPr>
      <w:r>
        <w:rPr>
          <w:b/>
          <w:bCs/>
          <w:u w:val="single"/>
        </w:rPr>
        <w:t>Credit</w:t>
      </w:r>
    </w:p>
    <w:p>
      <w:pPr>
        <w:pStyle w:val="Body"/>
        <w:ind w:start="90" w:end="0"/>
        <w:jc w:val="both"/>
        <w:rPr/>
      </w:pPr>
      <w:r>
        <w:rPr/>
        <w:t xml:space="preserve">Substantive credit provisions have not yet been agreed.  CMP bears the credit risk of all Retail Customers.  The deal structure as a Load Asset Transfer Contract increases EPMI’s credit exposure by the pass-through amounts for ancillary services, uplift, and other items that may be billed to EPMI’s settlement account and then collected from CMP (which are anticipated to be a very small percentage of the total receivables).  </w:t>
      </w:r>
    </w:p>
    <w:p>
      <w:pPr>
        <w:pStyle w:val="Body"/>
        <w:rPr/>
      </w:pPr>
      <w:r>
        <w:rPr/>
      </w:r>
    </w:p>
    <w:p>
      <w:pPr>
        <w:pStyle w:val="CopyList"/>
        <w:spacing w:before="0" w:after="0"/>
        <w:rPr/>
      </w:pPr>
      <w:r>
        <w:rPr/>
        <w:t>cc:</w:t>
        <w:tab/>
        <w:t>DASH distribution list</w:t>
      </w:r>
    </w:p>
    <w:p>
      <w:pPr>
        <w:pStyle w:val="CopyList"/>
        <w:spacing w:before="0" w:after="0"/>
        <w:rPr/>
      </w:pPr>
      <w:r>
        <w:rPr/>
        <w:tab/>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ab/>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tab/>
      <w:tab/>
    </w: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2524125</wp:posOffset>
              </wp:positionH>
              <wp:positionV relativeFrom="paragraph">
                <wp:posOffset>-266065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0.95pt;mso-position-vertical-relative:text;margin-left:198.7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870"/>
        </w:tabs>
        <w:ind w:start="87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540" w:leader="none"/>
      </w:tabs>
      <w:outlineLvl w:val="0"/>
    </w:pPr>
    <w:rPr>
      <w:b/>
      <w:bCs/>
      <w:sz w:val="20"/>
      <w:u w:val="single"/>
    </w:rPr>
  </w:style>
  <w:style w:type="paragraph" w:styleId="Heading2">
    <w:name w:val="heading 2"/>
    <w:basedOn w:val="Normal"/>
    <w:next w:val="Normal"/>
    <w:qFormat/>
    <w:pPr>
      <w:keepNext w:val="true"/>
      <w:numPr>
        <w:ilvl w:val="1"/>
        <w:numId w:val="1"/>
      </w:numPr>
      <w:tabs>
        <w:tab w:val="left" w:pos="-1440" w:leader="none"/>
        <w:tab w:val="left" w:pos="540" w:leader="none"/>
      </w:tabs>
      <w:jc w:val="both"/>
      <w:outlineLvl w:val="1"/>
    </w:pPr>
    <w:rPr>
      <w:b/>
      <w:bCs/>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0" w:start="9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2001-01-29T13:53:00Z</dcterms:created>
  <dc:creator>j r moore</dc:creator>
  <dc:description/>
  <dc:language>en-CA</dc:language>
  <cp:lastModifiedBy>jmoore2</cp:lastModifiedBy>
  <cp:lastPrinted>2001-01-30T09:32:00Z</cp:lastPrinted>
  <dcterms:modified xsi:type="dcterms:W3CDTF">2001-02-01T12:32:00Z</dcterms:modified>
  <cp:revision>8</cp:revision>
  <dc:subject/>
  <dc:title> 						</dc:title>
</cp:coreProperties>
</file>