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PLEDGE AGREEMENT</w:t>
      </w:r>
    </w:p>
    <w:p>
      <w:pPr>
        <w:pStyle w:val="BodyText"/>
        <w:widowControl/>
        <w:jc w:val="both"/>
        <w:rPr/>
      </w:pPr>
      <w:r>
        <w:rPr/>
        <w:t xml:space="preserve">This PLEDGE AGREEMENT, dated as of </w:t>
      </w:r>
      <w:r>
        <w:rPr>
          <w:strike/>
        </w:rPr>
        <w:t>April</w:t>
      </w:r>
      <w:r>
        <w:rPr/>
        <w:t xml:space="preserve"> </w:t>
      </w:r>
      <w:r>
        <w:rPr>
          <w:b/>
          <w:u w:val="double"/>
        </w:rPr>
        <w:t>March</w:t>
      </w:r>
      <w:r>
        <w:rPr/>
        <w:t xml:space="preserve"> [__], 2000 (together with all amendments, if any, from time to time hereto, this “</w:t>
      </w:r>
      <w:r>
        <w:rPr>
          <w:u w:val="single"/>
        </w:rPr>
        <w:t>Agreement</w:t>
      </w:r>
      <w:r>
        <w:rPr/>
        <w:t>”) between ENRON CORP., an Oregon corporation (the “</w:t>
      </w:r>
      <w:r>
        <w:rPr>
          <w:u w:val="single"/>
        </w:rPr>
        <w:t>Pledgor</w:t>
      </w:r>
      <w:r>
        <w:rPr/>
        <w:t>” or the “</w:t>
      </w:r>
      <w:r>
        <w:rPr>
          <w:u w:val="single"/>
        </w:rPr>
        <w:t>Company</w:t>
      </w:r>
      <w:r>
        <w:rPr/>
        <w:t xml:space="preserve">”) and </w:t>
      </w:r>
      <w:r>
        <w:rPr>
          <w:strike/>
        </w:rPr>
        <w:t>DEUTSCHE BANK AG, NEW YORK BRANCH (“DBAG”)</w:t>
      </w:r>
      <w:r>
        <w:rPr/>
        <w:t xml:space="preserve"> </w:t>
      </w:r>
      <w:r>
        <w:rPr>
          <w:b/>
          <w:u w:val="double"/>
        </w:rPr>
        <w:t>DB Overseas Finance Deutscheland AG (“DBOFD”)</w:t>
      </w:r>
      <w:r>
        <w:rPr/>
        <w:t>.</w:t>
      </w:r>
    </w:p>
    <w:p>
      <w:pPr>
        <w:pStyle w:val="Normal"/>
        <w:widowControl/>
        <w:spacing w:before="0" w:after="240"/>
        <w:jc w:val="center"/>
        <w:rPr/>
      </w:pPr>
      <w:r>
        <w:rPr>
          <w:u w:val="single"/>
        </w:rPr>
        <w:t>W I T N E S S E T H</w:t>
      </w:r>
      <w:r>
        <w:rPr/>
        <w:t>:</w:t>
      </w:r>
    </w:p>
    <w:p>
      <w:pPr>
        <w:pStyle w:val="Normal"/>
        <w:widowControl/>
        <w:ind w:firstLine="1440" w:end="0"/>
        <w:jc w:val="both"/>
        <w:rPr/>
      </w:pPr>
      <w:r>
        <w:rPr/>
        <w:t xml:space="preserve">WHEREAS, </w:t>
      </w:r>
      <w:r>
        <w:rPr>
          <w:strike/>
        </w:rPr>
        <w:t>DB Overseas Finance Deutscheland AG (“DBOFD”)</w:t>
      </w:r>
      <w:r>
        <w:rPr/>
        <w:t xml:space="preserve"> </w:t>
      </w:r>
      <w:r>
        <w:rPr>
          <w:b/>
          <w:u w:val="double"/>
        </w:rPr>
        <w:t>DBOFD</w:t>
      </w:r>
      <w:r>
        <w:rPr/>
        <w:t xml:space="preserve"> is entering into that certain Agreement on Participation Rights (</w:t>
      </w:r>
      <w:r>
        <w:rPr>
          <w:i/>
        </w:rPr>
        <w:t>Genussrechtsvertrag</w:t>
      </w:r>
      <w:r>
        <w:rPr/>
        <w:t>) (the “</w:t>
      </w:r>
      <w:r>
        <w:rPr>
          <w:u w:val="single"/>
        </w:rPr>
        <w:t>PRA</w:t>
      </w:r>
      <w:r>
        <w:rPr/>
        <w:t>”) dated of even date herewith, with Rheingold GmbH, a company with limited liability existing under the laws of the Federal Republic of Germany (“</w:t>
      </w:r>
      <w:r>
        <w:rPr>
          <w:u w:val="single"/>
        </w:rPr>
        <w:t>Issuer</w:t>
      </w:r>
      <w:r>
        <w:rPr/>
        <w:t>”), and Valhalla GmbH, a company with limited liability existing under the laws of the Federal Republic of Germany (“</w:t>
      </w:r>
      <w:r>
        <w:rPr>
          <w:u w:val="single"/>
        </w:rPr>
        <w:t>Holding</w:t>
      </w:r>
      <w:r>
        <w:rPr/>
        <w:t xml:space="preserve">”), pursuant to which Issuer will issue to </w:t>
      </w:r>
      <w:r>
        <w:rPr>
          <w:strike/>
        </w:rPr>
        <w:t>Counterparty</w:t>
      </w:r>
      <w:r>
        <w:rPr/>
        <w:t xml:space="preserve"> </w:t>
      </w:r>
      <w:r>
        <w:rPr>
          <w:b/>
          <w:u w:val="double"/>
        </w:rPr>
        <w:t>DBOFD</w:t>
      </w:r>
      <w:r>
        <w:rPr/>
        <w:t xml:space="preserve"> a participating debt instrument equal to U.S. $2,000,000,000 (</w:t>
      </w:r>
      <w:r>
        <w:rPr>
          <w:i/>
        </w:rPr>
        <w:t>genussrechte</w:t>
      </w:r>
      <w:r>
        <w:rPr/>
        <w:t xml:space="preserve">); and </w:t>
      </w:r>
    </w:p>
    <w:p>
      <w:pPr>
        <w:pStyle w:val="Normal"/>
        <w:widowControl/>
        <w:rPr/>
      </w:pPr>
      <w:r>
        <w:rPr/>
      </w:r>
    </w:p>
    <w:p>
      <w:pPr>
        <w:pStyle w:val="Normal"/>
        <w:widowControl/>
        <w:jc w:val="both"/>
        <w:rPr/>
      </w:pPr>
      <w:r>
        <w:rPr/>
        <w:tab/>
        <w:tab/>
        <w:t>WHEREAS, DBOFD is entering into that certain Call Option Agreement (the “</w:t>
      </w:r>
      <w:r>
        <w:rPr>
          <w:u w:val="single"/>
        </w:rPr>
        <w:t>Call Option Agreement</w:t>
      </w:r>
      <w:r>
        <w:rPr/>
        <w:t>”) dated of even date herewith with Enron Valkyrie, LLC, a limited liability company existing under the laws of the State of Delaware (“</w:t>
      </w:r>
      <w:r>
        <w:rPr>
          <w:u w:val="single"/>
        </w:rPr>
        <w:t>Valkyrie LLC</w:t>
      </w:r>
      <w:r>
        <w:rPr/>
        <w:t>”) pursuant to which Valkyrie LLC has an obligation to purchase the PRA in accordance with the terms thereof in the event Valkyrie LLC exercises its call right as set forth therein; and</w:t>
      </w:r>
    </w:p>
    <w:p>
      <w:pPr>
        <w:pStyle w:val="Normal"/>
        <w:widowControl/>
        <w:rPr/>
      </w:pPr>
      <w:r>
        <w:rPr/>
      </w:r>
    </w:p>
    <w:p>
      <w:pPr>
        <w:pStyle w:val="Normal"/>
        <w:widowControl/>
        <w:jc w:val="both"/>
        <w:rPr/>
      </w:pPr>
      <w:r>
        <w:rPr/>
        <w:tab/>
        <w:tab/>
        <w:t>WHEREAS, DBOFD is entering into that certain Put Option Agreement (the “</w:t>
      </w:r>
      <w:r>
        <w:rPr>
          <w:u w:val="single"/>
        </w:rPr>
        <w:t>Put Option Agreement</w:t>
      </w:r>
      <w:r>
        <w:rPr/>
        <w:t xml:space="preserve">”) dated of even date herewith with Holding pursuant to which Holding has an obligation to purchase the PRA in accordance with the terms thereof in the event </w:t>
      </w:r>
      <w:r>
        <w:rPr>
          <w:strike/>
        </w:rPr>
        <w:t>Counterparty</w:t>
      </w:r>
      <w:r>
        <w:rPr/>
        <w:t xml:space="preserve"> </w:t>
      </w:r>
      <w:r>
        <w:rPr>
          <w:b/>
          <w:u w:val="double"/>
        </w:rPr>
        <w:t>DBOFD</w:t>
      </w:r>
      <w:r>
        <w:rPr/>
        <w:t xml:space="preserve"> exercises its put right as set forth therein; and</w:t>
      </w:r>
    </w:p>
    <w:p>
      <w:pPr>
        <w:pStyle w:val="Normal"/>
        <w:widowControl/>
        <w:jc w:val="both"/>
        <w:rPr/>
      </w:pPr>
      <w:r>
        <w:rPr/>
      </w:r>
    </w:p>
    <w:p>
      <w:pPr>
        <w:pStyle w:val="Normal"/>
        <w:widowControl/>
        <w:jc w:val="both"/>
        <w:rPr/>
      </w:pPr>
      <w:r>
        <w:rPr/>
        <w:tab/>
        <w:tab/>
        <w:t xml:space="preserve">WHEREAS, the Company is executing that certain </w:t>
      </w:r>
      <w:r>
        <w:rPr>
          <w:strike/>
        </w:rPr>
        <w:t>Guarantee</w:t>
      </w:r>
      <w:r>
        <w:rPr/>
        <w:t xml:space="preserve"> </w:t>
      </w:r>
      <w:r>
        <w:rPr>
          <w:b/>
          <w:u w:val="double"/>
        </w:rPr>
        <w:t>Guaranty</w:t>
      </w:r>
      <w:r>
        <w:rPr/>
        <w:t xml:space="preserve"> (the </w:t>
      </w:r>
      <w:r>
        <w:rPr>
          <w:strike/>
        </w:rPr>
        <w:t>“Guarantee”)</w:t>
      </w:r>
      <w:r>
        <w:rPr>
          <w:b/>
          <w:u w:val="double"/>
        </w:rPr>
        <w:t>“Guaranty”)</w:t>
      </w:r>
      <w:r>
        <w:rPr/>
        <w:t xml:space="preserve"> dated of even date herewith, in favor of DBOFD pursuant to which the Company will guarantee the obligations of the Issuer, Holding and Valkyrie LLC (collectively, the “</w:t>
      </w:r>
      <w:r>
        <w:rPr>
          <w:u w:val="single"/>
        </w:rPr>
        <w:t>Enron Companies</w:t>
      </w:r>
      <w:r>
        <w:rPr/>
        <w:t xml:space="preserve">”) to DBOFD; and </w:t>
      </w:r>
    </w:p>
    <w:p>
      <w:pPr>
        <w:pStyle w:val="Normal"/>
        <w:widowControl/>
        <w:jc w:val="both"/>
        <w:rPr/>
      </w:pPr>
      <w:r>
        <w:rPr/>
      </w:r>
    </w:p>
    <w:p>
      <w:pPr>
        <w:pStyle w:val="Normal"/>
        <w:widowControl/>
        <w:jc w:val="both"/>
        <w:rPr/>
      </w:pPr>
      <w:r>
        <w:rPr/>
        <w:tab/>
        <w:tab/>
        <w:t xml:space="preserve">WHEREAS, </w:t>
      </w:r>
      <w:r>
        <w:rPr>
          <w:strike/>
        </w:rPr>
        <w:t>DBAG</w:t>
      </w:r>
      <w:r>
        <w:rPr/>
        <w:t xml:space="preserve"> </w:t>
      </w:r>
      <w:r>
        <w:rPr>
          <w:b/>
          <w:u w:val="double"/>
        </w:rPr>
        <w:t>Deutsche Bank AG, New York Branch</w:t>
      </w:r>
      <w:r>
        <w:rPr/>
        <w:t xml:space="preserve"> has issued that certain Structured Note </w:t>
      </w:r>
      <w:r>
        <w:rPr>
          <w:b/>
          <w:u w:val="double"/>
        </w:rPr>
        <w:t>dated March __, 2000</w:t>
      </w:r>
      <w:r>
        <w:rPr/>
        <w:t xml:space="preserve">, payable to the Company, in the amount of $1,950,000,000 </w:t>
      </w:r>
      <w:r>
        <w:rPr>
          <w:b/>
          <w:u w:val="double"/>
        </w:rPr>
        <w:t>(the “Structured Note”)</w:t>
      </w:r>
      <w:r>
        <w:rPr/>
        <w:t xml:space="preserve">; and </w:t>
      </w:r>
    </w:p>
    <w:p>
      <w:pPr>
        <w:pStyle w:val="Normal"/>
        <w:widowControl/>
        <w:rPr/>
      </w:pPr>
      <w:r>
        <w:rPr/>
      </w:r>
    </w:p>
    <w:p>
      <w:pPr>
        <w:pStyle w:val="Normal"/>
        <w:widowControl/>
        <w:jc w:val="both"/>
        <w:rPr/>
      </w:pPr>
      <w:r>
        <w:rPr/>
        <w:tab/>
        <w:tab/>
        <w:t xml:space="preserve">WHEREAS, the Pledgor has agreed to pledge the Structured Note to </w:t>
      </w:r>
      <w:r>
        <w:rPr>
          <w:strike/>
        </w:rPr>
        <w:t>DBAG and, further, to deposit the Structure Note into an escrow account on the date hereof, which shall be held subject to the Lien created in this Agreement</w:t>
      </w:r>
      <w:r>
        <w:rPr/>
        <w:t xml:space="preserve"> </w:t>
      </w:r>
      <w:r>
        <w:rPr>
          <w:b/>
          <w:u w:val="double"/>
        </w:rPr>
        <w:t>DBOFD to secure its obligation to DBOFD under the Guaranty</w:t>
      </w:r>
      <w:r>
        <w:rPr/>
        <w:t>; and</w:t>
      </w:r>
    </w:p>
    <w:p>
      <w:pPr>
        <w:pStyle w:val="Normal"/>
        <w:widowControl/>
        <w:rPr/>
      </w:pPr>
      <w:r>
        <w:rPr/>
      </w:r>
    </w:p>
    <w:p>
      <w:pPr>
        <w:pStyle w:val="BodyText"/>
        <w:widowControl/>
        <w:jc w:val="both"/>
        <w:rPr/>
      </w:pPr>
      <w:r>
        <w:rPr/>
        <w:t>NOW, THEREFORE, in consideration of the premises and the covenants hereinafter contained, it is agreed as follows:</w:t>
      </w:r>
    </w:p>
    <w:p>
      <w:pPr>
        <w:pStyle w:val="TabbedL1"/>
        <w:widowControl/>
        <w:jc w:val="both"/>
        <w:rPr/>
      </w:pPr>
      <w:r>
        <w:rPr/>
        <w:t>1.</w:t>
        <w:tab/>
      </w:r>
      <w:r>
        <w:rPr>
          <w:u w:val="single"/>
        </w:rPr>
        <w:t>Definitions</w:t>
      </w:r>
      <w:r>
        <w:rPr/>
        <w:t>.  The following terms shall have (unless otherwise provided elsewhere in this Agreement) the following respective meanings (such meanings being equally applicable to both the singular and plural form of the terms defined):</w:t>
      </w:r>
    </w:p>
    <w:p>
      <w:pPr>
        <w:pStyle w:val="BodyText"/>
        <w:widowControl/>
        <w:jc w:val="both"/>
        <w:rPr>
          <w:strike/>
        </w:rPr>
      </w:pPr>
      <w:r>
        <w:rPr>
          <w:strike/>
        </w:rPr>
        <w:t>“</w:t>
      </w:r>
      <w:r>
        <w:rPr>
          <w:strike/>
        </w:rPr>
        <w:t>Bankruptcy Code” shall mean title 11, United States Code, as amended from time to time, and any successor statute thereto.</w:t>
      </w:r>
    </w:p>
    <w:p>
      <w:pPr>
        <w:pStyle w:val="BodyText"/>
        <w:widowControl/>
        <w:jc w:val="both"/>
        <w:rPr>
          <w:strike/>
        </w:rPr>
      </w:pPr>
      <w:r>
        <w:rPr>
          <w:strike/>
        </w:rPr>
        <w:t>“</w:t>
      </w:r>
      <w:r>
        <w:rPr>
          <w:strike/>
        </w:rPr>
        <w:t>Escrow Agreement” shall mean that certain Escrow Agreement, dated as of April [__], 2000, by and among DBAG, the Pledgor and Bankers Trust Company.</w:t>
      </w:r>
    </w:p>
    <w:p>
      <w:pPr>
        <w:pStyle w:val="BodyText"/>
        <w:widowControl/>
        <w:jc w:val="both"/>
        <w:rPr/>
      </w:pPr>
      <w:r>
        <w:rPr/>
        <w:t>“</w:t>
      </w:r>
      <w:r>
        <w:rPr>
          <w:u w:val="single"/>
        </w:rPr>
        <w:t>Event of Default</w:t>
      </w:r>
      <w:r>
        <w:rPr/>
        <w:t xml:space="preserve">” shall </w:t>
      </w:r>
      <w:r>
        <w:rPr>
          <w:strike/>
        </w:rPr>
        <w:t>have the meaning assigned to such term in the Note</w:t>
      </w:r>
      <w:r>
        <w:rPr/>
        <w:t xml:space="preserve"> </w:t>
      </w:r>
      <w:r>
        <w:rPr>
          <w:b/>
          <w:u w:val="double"/>
        </w:rPr>
        <w:t>mean a failure to pay under the Guaranty when due</w:t>
      </w:r>
      <w:r>
        <w:rPr/>
        <w:t>.</w:t>
      </w:r>
    </w:p>
    <w:p>
      <w:pPr>
        <w:pStyle w:val="BodyText"/>
        <w:widowControl/>
        <w:jc w:val="both"/>
        <w:rPr/>
      </w:pPr>
      <w:r>
        <w:rPr/>
        <w:t>“</w:t>
      </w:r>
      <w:r>
        <w:rPr>
          <w:u w:val="single"/>
        </w:rPr>
        <w:t>Governmental Authority</w:t>
      </w:r>
      <w:r>
        <w:rPr/>
        <w:t>” shall mean any nation or government, any state or other political subdivision thereof, and any agency, department or other entity exercising executive, legislative, judicial, regulatory or administrative functions of or pertaining to government.</w:t>
      </w:r>
    </w:p>
    <w:p>
      <w:pPr>
        <w:pStyle w:val="BodyText"/>
        <w:widowControl/>
        <w:jc w:val="both"/>
        <w:rPr/>
      </w:pPr>
      <w:r>
        <w:rPr/>
        <w:t>“</w:t>
      </w:r>
      <w:r>
        <w:rPr>
          <w:u w:val="single"/>
        </w:rPr>
        <w:t>Lien</w:t>
      </w:r>
      <w:r>
        <w:rPr/>
        <w:t xml:space="preserve">” </w:t>
      </w:r>
      <w:r>
        <w:rPr>
          <w:strike/>
        </w:rPr>
        <w:t>means</w:t>
      </w:r>
      <w:r>
        <w:rPr/>
        <w:t xml:space="preserve"> shall mean any mortgage or deed of trust, pledge, hypothecation, assignment, deposit arrangement, lien, charge, claim, security interest, easement or encumbrance, or preference, priority or other security agreement or preferential arrangement of any kind or nature whatsoever (including any lease or title retention agreement, any financing lease having substantially the same economic effect as any of the foregoing, and the filing of, or agreement to give, any financing statement perfecting a security interest under the Uniform Commercial Code or comparable law of any jurisdiction).</w:t>
      </w:r>
    </w:p>
    <w:p>
      <w:pPr>
        <w:pStyle w:val="BodyText"/>
        <w:widowControl/>
        <w:jc w:val="both"/>
        <w:rPr>
          <w:strike/>
        </w:rPr>
      </w:pPr>
      <w:r>
        <w:rPr>
          <w:strike/>
        </w:rPr>
        <w:t>“</w:t>
      </w:r>
      <w:r>
        <w:rPr>
          <w:strike/>
        </w:rPr>
        <w:t>Note” shall mean that certain Promissory Note, dated April [__], 2000, issued by DBAG payable to the Pledgor.</w:t>
      </w:r>
    </w:p>
    <w:p>
      <w:pPr>
        <w:pStyle w:val="BodyText"/>
        <w:widowControl/>
        <w:jc w:val="both"/>
        <w:rPr/>
      </w:pPr>
      <w:r>
        <w:rPr/>
        <w:t>“</w:t>
      </w:r>
      <w:r>
        <w:rPr>
          <w:u w:val="single"/>
        </w:rPr>
        <w:t>Person</w:t>
      </w:r>
      <w:r>
        <w:rPr/>
        <w:t>” shall mean any individual, sole proprietorship, partnership, joint venture, trust, unincorporated organization, association, corporation, limited liability company, institution, public benefit corporation, other entity or government (whether federal, state, county, city, municipal, local, foreign, or otherwise, including any instrumentality, division, agency, body or department thereof).</w:t>
      </w:r>
    </w:p>
    <w:p>
      <w:pPr>
        <w:pStyle w:val="BodyText"/>
        <w:widowControl/>
        <w:jc w:val="both"/>
        <w:rPr/>
      </w:pPr>
      <w:r>
        <w:rPr/>
        <w:t>“</w:t>
      </w:r>
      <w:r>
        <w:rPr>
          <w:u w:val="single"/>
        </w:rPr>
        <w:t>Pledged Collateral</w:t>
      </w:r>
      <w:r>
        <w:rPr/>
        <w:t xml:space="preserve">” shall </w:t>
      </w:r>
      <w:r>
        <w:rPr>
          <w:strike/>
        </w:rPr>
        <w:t>means</w:t>
      </w:r>
      <w:r>
        <w:rPr/>
        <w:t xml:space="preserve"> </w:t>
      </w:r>
      <w:r>
        <w:rPr>
          <w:b/>
          <w:u w:val="double"/>
        </w:rPr>
        <w:t>mean</w:t>
      </w:r>
      <w:r>
        <w:rPr/>
        <w:t xml:space="preserve"> the </w:t>
      </w:r>
      <w:r>
        <w:rPr>
          <w:b/>
          <w:u w:val="double"/>
        </w:rPr>
        <w:t>Structured</w:t>
      </w:r>
      <w:r>
        <w:rPr/>
        <w:t xml:space="preserve"> Note.</w:t>
      </w:r>
    </w:p>
    <w:p>
      <w:pPr>
        <w:pStyle w:val="BodyText"/>
        <w:widowControl/>
        <w:jc w:val="both"/>
        <w:rPr/>
      </w:pPr>
      <w:r>
        <w:rPr/>
        <w:t>“</w:t>
      </w:r>
      <w:r>
        <w:rPr>
          <w:u w:val="single"/>
        </w:rPr>
        <w:t>Secured Obligations</w:t>
      </w:r>
      <w:r>
        <w:rPr/>
        <w:t xml:space="preserve">” shall have the meaning assigned to such term in </w:t>
      </w:r>
      <w:r>
        <w:rPr>
          <w:u w:val="single"/>
        </w:rPr>
        <w:t>Section 3</w:t>
      </w:r>
      <w:r>
        <w:rPr/>
        <w:t xml:space="preserve"> hereof.</w:t>
      </w:r>
    </w:p>
    <w:p>
      <w:pPr>
        <w:pStyle w:val="BodyText"/>
        <w:widowControl/>
        <w:jc w:val="both"/>
        <w:rPr/>
      </w:pPr>
      <w:r>
        <w:rPr/>
        <w:t>“</w:t>
      </w:r>
      <w:r>
        <w:rPr>
          <w:u w:val="single"/>
        </w:rPr>
        <w:t>Termination Date</w:t>
      </w:r>
      <w:r>
        <w:rPr/>
        <w:t xml:space="preserve">” shall mean [March 31, 2005], or such earlier date may occur if </w:t>
      </w:r>
      <w:r>
        <w:rPr>
          <w:strike/>
        </w:rPr>
        <w:t>Pledge Indebtedness is retired.</w:t>
      </w:r>
      <w:r>
        <w:rPr/>
        <w:t xml:space="preserve"> </w:t>
      </w:r>
      <w:r>
        <w:rPr>
          <w:b/>
          <w:u w:val="double"/>
        </w:rPr>
        <w:t>the date the Structured Note is accelerated as a result of a Required Payment Event (as defined in the Structured Note).</w:t>
      </w:r>
    </w:p>
    <w:p>
      <w:pPr>
        <w:pStyle w:val="TabbedL1"/>
        <w:widowControl/>
        <w:jc w:val="both"/>
        <w:rPr/>
      </w:pPr>
      <w:r>
        <w:rPr/>
        <w:t>2.</w:t>
        <w:tab/>
      </w:r>
      <w:r>
        <w:rPr>
          <w:u w:val="single"/>
        </w:rPr>
        <w:t>Pledge</w:t>
      </w:r>
      <w:r>
        <w:rPr/>
        <w:t xml:space="preserve">.  Pledgor hereby pledges to </w:t>
      </w:r>
      <w:r>
        <w:rPr>
          <w:strike/>
        </w:rPr>
        <w:t>DBAG</w:t>
      </w:r>
      <w:r>
        <w:rPr/>
        <w:t xml:space="preserve"> </w:t>
      </w:r>
      <w:r>
        <w:rPr>
          <w:b/>
          <w:u w:val="double"/>
        </w:rPr>
        <w:t>DBOFD</w:t>
      </w:r>
      <w:r>
        <w:rPr/>
        <w:t xml:space="preserve">, and grants to </w:t>
      </w:r>
      <w:r>
        <w:rPr>
          <w:strike/>
        </w:rPr>
        <w:t>DBAG for itself and the benefit of its successors and assigns,</w:t>
      </w:r>
      <w:r>
        <w:rPr/>
        <w:t xml:space="preserve"> </w:t>
      </w:r>
      <w:r>
        <w:rPr>
          <w:b/>
          <w:u w:val="double"/>
        </w:rPr>
        <w:t>DBOFD</w:t>
      </w:r>
      <w:r>
        <w:rPr/>
        <w:t xml:space="preserve"> a first priority security interest in the Pledged Collateral.</w:t>
      </w:r>
    </w:p>
    <w:p>
      <w:pPr>
        <w:pStyle w:val="TabbedL1"/>
        <w:widowControl/>
        <w:jc w:val="both"/>
        <w:rPr/>
      </w:pPr>
      <w:r>
        <w:rPr/>
        <w:t>3.</w:t>
        <w:tab/>
      </w:r>
      <w:r>
        <w:rPr>
          <w:u w:val="single"/>
        </w:rPr>
        <w:t>Security for Obligations</w:t>
      </w:r>
      <w:r>
        <w:rPr/>
        <w:t xml:space="preserve">.  This Agreement secures, and the Pledged Collateral is security for, the prompt payment in full when due, whether at stated maturity, by acceleration or otherwise, and performance of all obligations of any kind under or in connection with the </w:t>
      </w:r>
      <w:r>
        <w:rPr>
          <w:strike/>
        </w:rPr>
        <w:t>Guarantee</w:t>
      </w:r>
      <w:r>
        <w:rPr/>
        <w:t xml:space="preserve"> </w:t>
      </w:r>
      <w:r>
        <w:rPr>
          <w:b/>
          <w:u w:val="double"/>
        </w:rPr>
        <w:t>Guaranty</w:t>
      </w:r>
      <w:r>
        <w:rPr/>
        <w:t xml:space="preserve"> and all obligations of Pledgor now or hereafter existing under this Agreement including, without limitation, all fees, costs and expenses whether in connection with collection actions hereunder or otherwise (collectively, the “</w:t>
      </w:r>
      <w:r>
        <w:rPr>
          <w:u w:val="single"/>
        </w:rPr>
        <w:t>Secured Obligations</w:t>
      </w:r>
      <w:r>
        <w:rPr/>
        <w:t xml:space="preserve">”).  </w:t>
      </w:r>
    </w:p>
    <w:p>
      <w:pPr>
        <w:pStyle w:val="TabbedL1"/>
        <w:widowControl/>
        <w:jc w:val="both"/>
        <w:rPr/>
      </w:pPr>
      <w:r>
        <w:rPr/>
        <w:t>4.</w:t>
        <w:tab/>
      </w:r>
      <w:r>
        <w:rPr>
          <w:u w:val="single"/>
        </w:rPr>
        <w:t>Delivery of Pledged Collateral</w:t>
      </w:r>
      <w:r>
        <w:rPr/>
        <w:t xml:space="preserve">.  The Pledged Collateral shall be delivered to </w:t>
      </w:r>
      <w:r>
        <w:rPr>
          <w:strike/>
        </w:rPr>
        <w:t>and held by or on behalf of DBAG, for itself and the benefit of DBOFD, pursuant to the terms of the Escrow Agreement</w:t>
      </w:r>
      <w:r>
        <w:rPr/>
        <w:t xml:space="preserve"> </w:t>
      </w:r>
      <w:r>
        <w:rPr>
          <w:b/>
          <w:u w:val="double"/>
        </w:rPr>
        <w:t>DBOFD</w:t>
      </w:r>
      <w:r>
        <w:rPr/>
        <w:t xml:space="preserve">.  </w:t>
      </w:r>
    </w:p>
    <w:p>
      <w:pPr>
        <w:pStyle w:val="TabbedL1"/>
        <w:widowControl/>
        <w:jc w:val="both"/>
        <w:rPr/>
      </w:pPr>
      <w:r>
        <w:rPr/>
        <w:t>5.</w:t>
        <w:tab/>
      </w:r>
      <w:r>
        <w:rPr>
          <w:u w:val="single"/>
        </w:rPr>
        <w:t>Representations and Warranties</w:t>
      </w:r>
      <w:r>
        <w:rPr/>
        <w:t xml:space="preserve">.  Pledgor represents and warrants to </w:t>
      </w:r>
      <w:r>
        <w:rPr>
          <w:strike/>
        </w:rPr>
        <w:t>DBAG</w:t>
      </w:r>
      <w:r>
        <w:rPr/>
        <w:t xml:space="preserve"> </w:t>
      </w:r>
      <w:r>
        <w:rPr>
          <w:b/>
          <w:u w:val="double"/>
        </w:rPr>
        <w:t>DBOFD</w:t>
      </w:r>
      <w:r>
        <w:rPr/>
        <w:t xml:space="preserve"> that:</w:t>
      </w:r>
    </w:p>
    <w:p>
      <w:pPr>
        <w:pStyle w:val="TabbedL2"/>
        <w:widowControl/>
        <w:tabs>
          <w:tab w:val="clear" w:pos="2160"/>
          <w:tab w:val="clear" w:pos="2520"/>
        </w:tabs>
        <w:jc w:val="both"/>
        <w:rPr/>
      </w:pPr>
      <w:r>
        <w:rPr/>
        <w:t>(a)</w:t>
        <w:tab/>
        <w:t xml:space="preserve">Pledgor is the sole beneficial owner of such Pledged Collateral; </w:t>
      </w:r>
    </w:p>
    <w:p>
      <w:pPr>
        <w:pStyle w:val="TabbedL2"/>
        <w:widowControl/>
        <w:tabs>
          <w:tab w:val="clear" w:pos="2160"/>
          <w:tab w:val="clear" w:pos="2520"/>
        </w:tabs>
        <w:jc w:val="both"/>
        <w:rPr/>
      </w:pPr>
      <w:r>
        <w:rPr/>
        <w:t>(b)</w:t>
        <w:tab/>
        <w:t xml:space="preserve">the Pledged Collateral is pledged by Pledgor free and clear of any Lien thereon or affecting the title thereto, except for any Lien created by this Agreement;  </w:t>
      </w:r>
    </w:p>
    <w:p>
      <w:pPr>
        <w:pStyle w:val="TabbedL2"/>
        <w:widowControl/>
        <w:tabs>
          <w:tab w:val="clear" w:pos="2160"/>
          <w:tab w:val="clear" w:pos="2520"/>
        </w:tabs>
        <w:jc w:val="both"/>
        <w:rPr/>
      </w:pPr>
      <w:r>
        <w:rPr/>
        <w:t>(c)</w:t>
        <w:tab/>
        <w:t xml:space="preserve">Pledgor has the right and requisite authority to pledge, assign, transfer, deliver, deposit and set over the Pledged Collateral pledged by Pledgor to </w:t>
      </w:r>
      <w:r>
        <w:rPr>
          <w:strike/>
        </w:rPr>
        <w:t>DBAG</w:t>
      </w:r>
      <w:r>
        <w:rPr/>
        <w:t xml:space="preserve"> </w:t>
      </w:r>
      <w:r>
        <w:rPr>
          <w:b/>
          <w:u w:val="double"/>
        </w:rPr>
        <w:t>DBOFD</w:t>
      </w:r>
      <w:r>
        <w:rPr/>
        <w:t xml:space="preserve"> as provided herein;</w:t>
      </w:r>
    </w:p>
    <w:p>
      <w:pPr>
        <w:pStyle w:val="TabbedL2"/>
        <w:widowControl/>
        <w:tabs>
          <w:tab w:val="clear" w:pos="2160"/>
          <w:tab w:val="clear" w:pos="2520"/>
        </w:tabs>
        <w:jc w:val="both"/>
        <w:rPr/>
      </w:pPr>
      <w:r>
        <w:rPr/>
        <w:t>(d)</w:t>
        <w:tab/>
      </w:r>
      <w:r>
        <w:rPr>
          <w:strike/>
        </w:rPr>
        <w:t>The</w:t>
      </w:r>
      <w:r>
        <w:rPr/>
        <w:t xml:space="preserve"> </w:t>
      </w:r>
      <w:r>
        <w:rPr>
          <w:b/>
          <w:u w:val="double"/>
        </w:rPr>
        <w:t>the</w:t>
      </w:r>
      <w:r>
        <w:rPr/>
        <w:t xml:space="preserve"> Pledged Collateral has not been issued or transferred in violation of the securities registration, securities disclosure or similar laws of any jurisdiction to which such issuance or transfer may be subject;</w:t>
      </w:r>
    </w:p>
    <w:p>
      <w:pPr>
        <w:pStyle w:val="TabbedL2"/>
        <w:widowControl/>
        <w:tabs>
          <w:tab w:val="clear" w:pos="2160"/>
          <w:tab w:val="clear" w:pos="2520"/>
        </w:tabs>
        <w:jc w:val="both"/>
        <w:rPr/>
      </w:pPr>
      <w:r>
        <w:rPr/>
        <w:t>(e)</w:t>
        <w:tab/>
      </w:r>
      <w:r>
        <w:rPr>
          <w:strike/>
        </w:rPr>
        <w:t>No</w:t>
      </w:r>
      <w:r>
        <w:rPr/>
        <w:t xml:space="preserve"> </w:t>
      </w:r>
      <w:r>
        <w:rPr>
          <w:b/>
          <w:u w:val="double"/>
        </w:rPr>
        <w:t>no</w:t>
      </w:r>
      <w:r>
        <w:rPr/>
        <w:t xml:space="preserve"> consent, approval, authorization or other order or other action by, and no notice to or filing with, any Governmental Authority or any other Person is required (i) for the pledge by Pledgor of the Pledged Collateral pursuant to this Agreement or for the execution, delivery or performance of this Agreement by Pledgor, or (ii) for the exercise by </w:t>
      </w:r>
      <w:r>
        <w:rPr>
          <w:strike/>
        </w:rPr>
        <w:t>DBAG</w:t>
      </w:r>
      <w:r>
        <w:rPr/>
        <w:t xml:space="preserve"> </w:t>
      </w:r>
      <w:r>
        <w:rPr>
          <w:b/>
          <w:u w:val="double"/>
        </w:rPr>
        <w:t>DBOFD</w:t>
      </w:r>
      <w:r>
        <w:rPr/>
        <w:t xml:space="preserve"> of the rights provided for in this Agreement or the remedies in respect of the Pledged Collateral pursuant to this Agreement, except as may be required in connection with such disposition by laws affecting the offering and sale of securities generally;</w:t>
      </w:r>
    </w:p>
    <w:p>
      <w:pPr>
        <w:pStyle w:val="TabbedL2"/>
        <w:widowControl/>
        <w:tabs>
          <w:tab w:val="clear" w:pos="2160"/>
          <w:tab w:val="clear" w:pos="2520"/>
        </w:tabs>
        <w:jc w:val="both"/>
        <w:rPr/>
      </w:pPr>
      <w:r>
        <w:rPr/>
        <w:t>(f)</w:t>
        <w:tab/>
      </w:r>
      <w:r>
        <w:rPr>
          <w:strike/>
        </w:rPr>
        <w:t>The</w:t>
      </w:r>
      <w:r>
        <w:rPr/>
        <w:t xml:space="preserve"> </w:t>
      </w:r>
      <w:r>
        <w:rPr>
          <w:b/>
          <w:u w:val="double"/>
        </w:rPr>
        <w:t>the</w:t>
      </w:r>
      <w:r>
        <w:rPr/>
        <w:t xml:space="preserve"> pledge, assignment and delivery of the Pledged Collateral pursuant to this Agreement will create a valid first priority Lien on and a first priority perfected security interest in favor of </w:t>
      </w:r>
      <w:r>
        <w:rPr>
          <w:strike/>
        </w:rPr>
        <w:t>the DBAG for the benefit of DBAG</w:t>
      </w:r>
      <w:r>
        <w:rPr/>
        <w:t xml:space="preserve"> </w:t>
      </w:r>
      <w:r>
        <w:rPr>
          <w:b/>
          <w:u w:val="double"/>
        </w:rPr>
        <w:t>DBOFD</w:t>
      </w:r>
      <w:r>
        <w:rPr/>
        <w:t xml:space="preserve"> in the Pledged Collateral and the proceeds thereof, securing the payment of the Secured Obligations, subject to no other Lien; and</w:t>
      </w:r>
    </w:p>
    <w:p>
      <w:pPr>
        <w:pStyle w:val="TabbedL2"/>
        <w:widowControl/>
        <w:tabs>
          <w:tab w:val="clear" w:pos="2160"/>
          <w:tab w:val="clear" w:pos="2520"/>
        </w:tabs>
        <w:jc w:val="both"/>
        <w:rPr/>
      </w:pPr>
      <w:r>
        <w:rPr/>
        <w:t>(g)</w:t>
        <w:tab/>
      </w:r>
      <w:r>
        <w:rPr>
          <w:strike/>
        </w:rPr>
        <w:t>This</w:t>
      </w:r>
      <w:r>
        <w:rPr/>
        <w:t xml:space="preserve"> </w:t>
      </w:r>
      <w:r>
        <w:rPr>
          <w:b/>
          <w:u w:val="double"/>
        </w:rPr>
        <w:t>this</w:t>
      </w:r>
      <w:r>
        <w:rPr/>
        <w:t xml:space="preserve"> Agreement has been duly authorized, executed and delivered by Pledgor and constitutes a legal, valid and binding obligation of Pledgor enforceable against Pledgor in accordance with its terms</w:t>
      </w:r>
      <w:r>
        <w:rPr>
          <w:b/>
          <w:u w:val="double"/>
        </w:rPr>
        <w:t>, except as the enforceability of this Agreement may be limited by the effect of any applicable bankruptcy, insolvency, reorganization, moratorium or similar laws affecting creditors' rights generally and by general principles of equity as they apply to Pledgor</w:t>
      </w:r>
      <w:r>
        <w:rPr/>
        <w:t>.</w:t>
      </w:r>
    </w:p>
    <w:p>
      <w:pPr>
        <w:pStyle w:val="BodyText"/>
        <w:widowControl/>
        <w:rPr/>
      </w:pPr>
      <w:r>
        <w:rPr/>
        <w:t xml:space="preserve">The representations and warranties set forth in this </w:t>
      </w:r>
      <w:r>
        <w:rPr>
          <w:u w:val="single"/>
        </w:rPr>
        <w:t>Section 5</w:t>
      </w:r>
      <w:r>
        <w:rPr/>
        <w:t xml:space="preserve"> shall survive the execution and delivery of this Agreement.</w:t>
      </w:r>
    </w:p>
    <w:p>
      <w:pPr>
        <w:pStyle w:val="TabbedL1"/>
        <w:widowControl/>
        <w:jc w:val="both"/>
        <w:rPr/>
      </w:pPr>
      <w:r>
        <w:rPr/>
        <w:t>6.</w:t>
        <w:tab/>
      </w:r>
      <w:r>
        <w:rPr>
          <w:u w:val="single"/>
        </w:rPr>
        <w:t>Covenants</w:t>
      </w:r>
      <w:r>
        <w:rPr/>
        <w:t>.  Pledgor covenants and agrees that until the Termination Date:</w:t>
      </w:r>
    </w:p>
    <w:p>
      <w:pPr>
        <w:pStyle w:val="TabbedL2"/>
        <w:widowControl/>
        <w:tabs>
          <w:tab w:val="clear" w:pos="2160"/>
          <w:tab w:val="clear" w:pos="2520"/>
        </w:tabs>
        <w:jc w:val="both"/>
        <w:rPr/>
      </w:pPr>
      <w:r>
        <w:rPr/>
        <w:t>(a)</w:t>
        <w:tab/>
      </w:r>
      <w:r>
        <w:rPr>
          <w:strike/>
        </w:rPr>
        <w:t>Without</w:t>
      </w:r>
      <w:r>
        <w:rPr/>
        <w:t xml:space="preserve"> </w:t>
      </w:r>
      <w:r>
        <w:rPr>
          <w:b/>
          <w:u w:val="double"/>
        </w:rPr>
        <w:t>without</w:t>
      </w:r>
      <w:r>
        <w:rPr/>
        <w:t xml:space="preserve"> the prior written consent of </w:t>
      </w:r>
      <w:r>
        <w:rPr>
          <w:strike/>
        </w:rPr>
        <w:t>DBAG</w:t>
      </w:r>
      <w:r>
        <w:rPr/>
        <w:t xml:space="preserve"> </w:t>
      </w:r>
      <w:r>
        <w:rPr>
          <w:b/>
          <w:u w:val="double"/>
        </w:rPr>
        <w:t>DBOFD</w:t>
      </w:r>
      <w:r>
        <w:rPr/>
        <w:t>, Pledgor will not sell, assign, transfer, pledge, or otherwise encumber any of its rights in or to the Pledged Collateral</w:t>
      </w:r>
      <w:r>
        <w:rPr>
          <w:strike/>
        </w:rPr>
        <w:t>[</w:t>
      </w:r>
      <w:r>
        <w:rPr/>
        <w:t xml:space="preserve">, or any unpaid interest or other distributions or payments with respect to the Pledged Collateral </w:t>
      </w:r>
      <w:r>
        <w:rPr>
          <w:strike/>
        </w:rPr>
        <w:t>]</w:t>
      </w:r>
      <w:r>
        <w:rPr/>
        <w:t xml:space="preserve"> or grant a Lien in the Pledged Collateral;</w:t>
      </w:r>
    </w:p>
    <w:p>
      <w:pPr>
        <w:pStyle w:val="TabbedL2"/>
        <w:widowControl/>
        <w:tabs>
          <w:tab w:val="clear" w:pos="2160"/>
          <w:tab w:val="clear" w:pos="2520"/>
        </w:tabs>
        <w:jc w:val="both"/>
        <w:rPr/>
      </w:pPr>
      <w:r>
        <w:rPr/>
        <w:t>(b)</w:t>
        <w:tab/>
        <w:t xml:space="preserve">Pledgor will, at its expense, promptly execute, acknowledge and deliver all such instruments and take all such actions as </w:t>
      </w:r>
      <w:r>
        <w:rPr>
          <w:strike/>
        </w:rPr>
        <w:t>DBAG</w:t>
      </w:r>
      <w:r>
        <w:rPr/>
        <w:t xml:space="preserve"> </w:t>
      </w:r>
      <w:r>
        <w:rPr>
          <w:b/>
          <w:u w:val="double"/>
        </w:rPr>
        <w:t>DBOFD</w:t>
      </w:r>
      <w:r>
        <w:rPr/>
        <w:t xml:space="preserve"> from time to time may request in order to ensure </w:t>
      </w:r>
      <w:r>
        <w:rPr>
          <w:strike/>
        </w:rPr>
        <w:t>to DBAG</w:t>
      </w:r>
      <w:r>
        <w:rPr>
          <w:b/>
          <w:u w:val="double"/>
        </w:rPr>
        <w:t>, subject to Pledgor’s right of set off under the Guaranty and the Structured Note, to DBOFD</w:t>
      </w:r>
      <w:r>
        <w:rPr/>
        <w:t xml:space="preserve"> the benefits of the Lien in and to the Pledged Collateral intended to be created by this Agreement, including the filing of any necessary Uniform Commercial Code financing statements, which may be filed by </w:t>
      </w:r>
      <w:r>
        <w:rPr>
          <w:strike/>
        </w:rPr>
        <w:t>DBAG</w:t>
      </w:r>
      <w:r>
        <w:rPr/>
        <w:t xml:space="preserve"> </w:t>
      </w:r>
      <w:r>
        <w:rPr>
          <w:b/>
          <w:u w:val="double"/>
        </w:rPr>
        <w:t>DBOFD</w:t>
      </w:r>
      <w:r>
        <w:rPr/>
        <w:t xml:space="preserve"> with or (to the extent permitted by law) without the signature of Pledgor, and will cooperate with </w:t>
      </w:r>
      <w:r>
        <w:rPr>
          <w:strike/>
        </w:rPr>
        <w:t>DBAG</w:t>
      </w:r>
      <w:r>
        <w:rPr/>
        <w:t xml:space="preserve"> </w:t>
      </w:r>
      <w:r>
        <w:rPr>
          <w:b/>
          <w:u w:val="double"/>
        </w:rPr>
        <w:t>DBOFD</w:t>
      </w:r>
      <w:r>
        <w:rPr/>
        <w:t>, at Pledgor’s expense, in obtaining all necessary approvals and making all necessary filings under federal, state, local or foreign law in connection with such Liens or any sale or transfer of the Pledged Collateral; and</w:t>
      </w:r>
    </w:p>
    <w:p>
      <w:pPr>
        <w:pStyle w:val="TabbedL2"/>
        <w:widowControl/>
        <w:tabs>
          <w:tab w:val="clear" w:pos="2160"/>
          <w:tab w:val="clear" w:pos="2520"/>
        </w:tabs>
        <w:jc w:val="both"/>
        <w:rPr/>
      </w:pPr>
      <w:r>
        <w:rPr/>
        <w:t>(c)</w:t>
        <w:tab/>
        <w:t xml:space="preserve">Pledgor has and will defend the title to the Pledged Collateral and the Liens of </w:t>
      </w:r>
      <w:r>
        <w:rPr>
          <w:strike/>
        </w:rPr>
        <w:t>DBAG</w:t>
      </w:r>
      <w:r>
        <w:rPr/>
        <w:t xml:space="preserve"> </w:t>
      </w:r>
      <w:r>
        <w:rPr>
          <w:b/>
          <w:u w:val="double"/>
        </w:rPr>
        <w:t>DBOFD</w:t>
      </w:r>
      <w:r>
        <w:rPr/>
        <w:t xml:space="preserve"> in the Pledged Collateral against the claim of any Person and will maintain and preserve such Liens.</w:t>
      </w:r>
    </w:p>
    <w:p>
      <w:pPr>
        <w:pStyle w:val="TabbedL1"/>
        <w:widowControl/>
        <w:jc w:val="both"/>
        <w:rPr/>
      </w:pPr>
      <w:r>
        <w:rPr/>
        <w:t>7.</w:t>
        <w:tab/>
      </w:r>
      <w:r>
        <w:rPr>
          <w:u w:val="single"/>
        </w:rPr>
        <w:t>Pledgor’s Rights</w:t>
      </w:r>
      <w:r>
        <w:rPr/>
        <w:t xml:space="preserve">.  As long as no Event of Default shall have occurred and be continuing and until written notice shall be given to Pledgor in accordance with </w:t>
      </w:r>
      <w:r>
        <w:rPr>
          <w:u w:val="single"/>
        </w:rPr>
        <w:t>Section 8</w:t>
      </w:r>
      <w:r>
        <w:rPr>
          <w:strike/>
          <w:u w:val="single"/>
        </w:rPr>
        <w:t>(a)</w:t>
      </w:r>
      <w:r>
        <w:rPr/>
        <w:t xml:space="preserve"> hereof, </w:t>
      </w:r>
      <w:r>
        <w:rPr>
          <w:strike/>
        </w:rPr>
        <w:t>[</w:t>
      </w:r>
      <w:r>
        <w:rPr/>
        <w:t xml:space="preserve">(a) </w:t>
      </w:r>
      <w:r>
        <w:rPr>
          <w:strike/>
        </w:rPr>
        <w:t>]</w:t>
      </w:r>
      <w:r>
        <w:rPr/>
        <w:t xml:space="preserve"> Pledgor shall have the right, from time to time, to give consents with respect to the Pledged Collateral, or any part thereof for all purposes not inconsistent with the provisions of this Agreement or any related agreement; </w:t>
      </w:r>
      <w:r>
        <w:rPr>
          <w:u w:val="single"/>
        </w:rPr>
        <w:t>provided</w:t>
      </w:r>
      <w:r>
        <w:rPr/>
        <w:t xml:space="preserve">, </w:t>
      </w:r>
      <w:r>
        <w:rPr>
          <w:u w:val="single"/>
        </w:rPr>
        <w:t>however</w:t>
      </w:r>
      <w:r>
        <w:rPr/>
        <w:t xml:space="preserve">, that no consent shall be given or action taken, which would have the effect of impairing the position or interest of </w:t>
      </w:r>
      <w:r>
        <w:rPr>
          <w:strike/>
        </w:rPr>
        <w:t>DBAG</w:t>
      </w:r>
      <w:r>
        <w:rPr/>
        <w:t xml:space="preserve"> </w:t>
      </w:r>
      <w:r>
        <w:rPr>
          <w:b/>
          <w:u w:val="double"/>
        </w:rPr>
        <w:t>DBOFD</w:t>
      </w:r>
      <w:r>
        <w:rPr/>
        <w:t xml:space="preserve"> in respect of the Pledged Collateral</w:t>
      </w:r>
      <w:r>
        <w:rPr>
          <w:strike/>
        </w:rPr>
        <w:t>[</w:t>
      </w:r>
      <w:r>
        <w:rPr/>
        <w:t>, and (b) Pledgor shall be entitled, from time to time, to collect and receive for its own use all interest paid in respect of the Pledged Collateral.</w:t>
      </w:r>
      <w:r>
        <w:rPr>
          <w:strike/>
        </w:rPr>
        <w:t>]</w:t>
      </w:r>
    </w:p>
    <w:p>
      <w:pPr>
        <w:pStyle w:val="TabbedL1"/>
        <w:widowControl/>
        <w:jc w:val="both"/>
        <w:rPr>
          <w:b/>
        </w:rPr>
      </w:pPr>
      <w:r>
        <w:rPr/>
        <w:t>8.</w:t>
        <w:tab/>
      </w:r>
      <w:r>
        <w:rPr>
          <w:u w:val="single"/>
        </w:rPr>
        <w:t>Defaults and Remedies</w:t>
      </w:r>
      <w:r>
        <w:rPr/>
        <w:t xml:space="preserve">.  Upon the occurrence </w:t>
      </w:r>
      <w:r>
        <w:rPr>
          <w:b/>
          <w:u w:val="double"/>
        </w:rPr>
        <w:t>and during the continuation</w:t>
      </w:r>
      <w:r>
        <w:rPr/>
        <w:t xml:space="preserve"> of an Event of Default </w:t>
      </w:r>
      <w:r>
        <w:rPr>
          <w:strike/>
        </w:rPr>
        <w:t>and during the continuation of such Event of Default</w:t>
      </w:r>
      <w:r>
        <w:rPr/>
        <w:t xml:space="preserve">, and concurrently with written notice to Pledgor, </w:t>
      </w:r>
      <w:r>
        <w:rPr>
          <w:strike/>
        </w:rPr>
        <w:t>DBAG</w:t>
      </w:r>
      <w:r>
        <w:rPr/>
        <w:t xml:space="preserve"> </w:t>
      </w:r>
      <w:r>
        <w:rPr>
          <w:b/>
          <w:u w:val="double"/>
        </w:rPr>
        <w:t>DBOFD</w:t>
      </w:r>
      <w:r>
        <w:rPr/>
        <w:t xml:space="preserve"> (personally or through an agent) is hereby authorized and empowered to transfer and register in its name or in the name of its nominee the whole or any part of the Pledged Collateral, to exchange certificates or instruments representing or evidencing the Pledged Collateral for certificates or instruments of smaller or larger denominations, to collect and receive all interest, principal and other distributions made thereon, to sell in one or more sales after ten (10) days’ notice of the time and place of any public sale or of the time at which a private sale is to take place (which notice Pledgor agrees is commercially reasonable) the whole or any part of the Pledged Collateral and to otherwise act with respect to the Pledged Collateral as though </w:t>
      </w:r>
      <w:r>
        <w:rPr>
          <w:strike/>
        </w:rPr>
        <w:t>DBAG</w:t>
      </w:r>
      <w:r>
        <w:rPr/>
        <w:t xml:space="preserve"> </w:t>
      </w:r>
      <w:r>
        <w:rPr>
          <w:b/>
          <w:u w:val="double"/>
        </w:rPr>
        <w:t>DBOFD</w:t>
      </w:r>
      <w:r>
        <w:rPr/>
        <w:t xml:space="preserve"> was the outright owner thereof.  Pledgor agrees to the maximum extent permitted by applicable law that following the occurrence and during the continuance of an Event of Default it will not at any time plead, claim or take the benefit of any appraisal, valuation, stay, extension, moratorium or redemption law now or hereafter in force in order to prevent or delay the enforcement of this Agreement, or the absolute sale of the whole or any part of the Pledged Collateral or the possession thereof by any purchaser at any sale hereunder, and Pledgor waives the benefit of all such laws to the extent it lawfully may do so.</w:t>
      </w:r>
      <w:r>
        <w:rPr>
          <w:b/>
          <w:u w:val="double"/>
        </w:rPr>
        <w:t xml:space="preserve">  Except that Pledgor may exercise its rights of set off under the Guaranty and Structured Note,</w:t>
      </w:r>
      <w:r>
        <w:rPr/>
        <w:t xml:space="preserve"> Pledgor agrees that it will not interfere with any right, power and remedy of </w:t>
      </w:r>
      <w:r>
        <w:rPr>
          <w:strike/>
        </w:rPr>
        <w:t>DBAG</w:t>
      </w:r>
      <w:r>
        <w:rPr/>
        <w:t xml:space="preserve"> </w:t>
      </w:r>
      <w:r>
        <w:rPr>
          <w:b/>
          <w:u w:val="double"/>
        </w:rPr>
        <w:t>DBOFD</w:t>
      </w:r>
      <w:r>
        <w:rPr/>
        <w:t xml:space="preserve"> provided for in this Agreement or now or hereafter existing at law or in equity or by statute or otherwise, or the exercise or beginning of the exercise by </w:t>
      </w:r>
      <w:r>
        <w:rPr>
          <w:strike/>
        </w:rPr>
        <w:t>DBAG</w:t>
      </w:r>
      <w:r>
        <w:rPr/>
        <w:t xml:space="preserve"> </w:t>
      </w:r>
      <w:r>
        <w:rPr>
          <w:b/>
          <w:u w:val="double"/>
        </w:rPr>
        <w:t>DBOFD</w:t>
      </w:r>
      <w:r>
        <w:rPr/>
        <w:t xml:space="preserve"> of any one or more of such rights, powers or remedies.  No failure or delay on the part of </w:t>
      </w:r>
      <w:r>
        <w:rPr>
          <w:strike/>
        </w:rPr>
        <w:t>DBAG</w:t>
      </w:r>
      <w:r>
        <w:rPr/>
        <w:t xml:space="preserve"> </w:t>
      </w:r>
      <w:r>
        <w:rPr>
          <w:b/>
          <w:u w:val="double"/>
        </w:rPr>
        <w:t>DBOFD</w:t>
      </w:r>
      <w:r>
        <w:rPr/>
        <w:t xml:space="preserve"> to exercise any such right, power or remedy and no notice or demand which may be given to or made upon Pledgor by </w:t>
      </w:r>
      <w:r>
        <w:rPr>
          <w:strike/>
        </w:rPr>
        <w:t>DBAG</w:t>
      </w:r>
      <w:r>
        <w:rPr/>
        <w:t xml:space="preserve"> </w:t>
      </w:r>
      <w:r>
        <w:rPr>
          <w:b/>
          <w:u w:val="double"/>
        </w:rPr>
        <w:t>DBOFD</w:t>
      </w:r>
      <w:r>
        <w:rPr/>
        <w:t xml:space="preserve"> with respect to any such remedies shall operate as a waiver thereof, or limit or impair </w:t>
      </w:r>
      <w:r>
        <w:rPr>
          <w:strike/>
        </w:rPr>
        <w:t>DBAG’s</w:t>
      </w:r>
      <w:r>
        <w:rPr/>
        <w:t xml:space="preserve"> </w:t>
      </w:r>
      <w:r>
        <w:rPr>
          <w:b/>
          <w:u w:val="double"/>
        </w:rPr>
        <w:t>DBOFD’s</w:t>
      </w:r>
      <w:r>
        <w:rPr/>
        <w:t xml:space="preserve"> right to take any action or to exercise any power or remedy hereunder, without notice or demand, or prejudice its rights as against Pledgor in any respect.</w:t>
      </w:r>
    </w:p>
    <w:p>
      <w:pPr>
        <w:pStyle w:val="TabbedL1"/>
        <w:widowControl/>
        <w:jc w:val="both"/>
        <w:rPr/>
      </w:pPr>
      <w:r>
        <w:rPr/>
        <w:t>9.</w:t>
        <w:tab/>
      </w:r>
      <w:r>
        <w:rPr>
          <w:u w:val="single"/>
        </w:rPr>
        <w:t>Waiver</w:t>
      </w:r>
      <w:r>
        <w:rPr/>
        <w:t xml:space="preserve">.  No delay on </w:t>
      </w:r>
      <w:r>
        <w:rPr>
          <w:strike/>
        </w:rPr>
        <w:t>DBAG’s</w:t>
      </w:r>
      <w:r>
        <w:rPr/>
        <w:t xml:space="preserve"> </w:t>
      </w:r>
      <w:r>
        <w:rPr>
          <w:b/>
          <w:u w:val="double"/>
        </w:rPr>
        <w:t>DBOFD’s</w:t>
      </w:r>
      <w:r>
        <w:rPr/>
        <w:t xml:space="preserve"> part in exercising any power of sale, Lien, option or other right hereunder, and no notice or demand which may be given to or made upon Pledgor by </w:t>
      </w:r>
      <w:r>
        <w:rPr>
          <w:strike/>
        </w:rPr>
        <w:t>DBAG</w:t>
      </w:r>
      <w:r>
        <w:rPr/>
        <w:t xml:space="preserve"> </w:t>
      </w:r>
      <w:r>
        <w:rPr>
          <w:b/>
          <w:u w:val="double"/>
        </w:rPr>
        <w:t>DBOFD</w:t>
      </w:r>
      <w:r>
        <w:rPr/>
        <w:t xml:space="preserve"> with respect to any power of sale, Lien, option or other right hereunder, shall constitute a waiver thereof, or limit or impair </w:t>
      </w:r>
      <w:r>
        <w:rPr>
          <w:strike/>
        </w:rPr>
        <w:t>DBAG’s</w:t>
      </w:r>
      <w:r>
        <w:rPr/>
        <w:t xml:space="preserve"> </w:t>
      </w:r>
      <w:r>
        <w:rPr>
          <w:b/>
          <w:u w:val="double"/>
        </w:rPr>
        <w:t>DBOFD’s</w:t>
      </w:r>
      <w:r>
        <w:rPr/>
        <w:t xml:space="preserve"> right to take any action or to exercise any power of sale, </w:t>
      </w:r>
      <w:r>
        <w:rPr>
          <w:strike/>
        </w:rPr>
        <w:t>DBAG</w:t>
      </w:r>
      <w:r>
        <w:rPr/>
        <w:t xml:space="preserve"> </w:t>
      </w:r>
      <w:r>
        <w:rPr>
          <w:b/>
          <w:u w:val="double"/>
        </w:rPr>
        <w:t>Lien</w:t>
      </w:r>
      <w:r>
        <w:rPr/>
        <w:t xml:space="preserve">, option, or any other right hereunder, without notice or demand, or prejudice </w:t>
      </w:r>
      <w:r>
        <w:rPr>
          <w:strike/>
        </w:rPr>
        <w:t>DBAG’s</w:t>
      </w:r>
      <w:r>
        <w:rPr/>
        <w:t xml:space="preserve"> </w:t>
      </w:r>
      <w:r>
        <w:rPr>
          <w:b/>
          <w:u w:val="double"/>
        </w:rPr>
        <w:t>DBOFD’s</w:t>
      </w:r>
      <w:r>
        <w:rPr/>
        <w:t xml:space="preserve"> rights as against Pledgor in any respect.</w:t>
      </w:r>
    </w:p>
    <w:p>
      <w:pPr>
        <w:pStyle w:val="TabbedL1"/>
        <w:widowControl/>
        <w:jc w:val="both"/>
        <w:rPr/>
      </w:pPr>
      <w:r>
        <w:rPr/>
        <w:t>10.</w:t>
        <w:tab/>
      </w:r>
      <w:r>
        <w:rPr>
          <w:u w:val="single"/>
        </w:rPr>
        <w:t>Assignment</w:t>
      </w:r>
      <w:r>
        <w:rPr/>
        <w:t xml:space="preserve">.  </w:t>
      </w:r>
      <w:r>
        <w:rPr>
          <w:strike/>
        </w:rPr>
        <w:t>DBAG</w:t>
      </w:r>
      <w:r>
        <w:rPr/>
        <w:t xml:space="preserve"> </w:t>
      </w:r>
      <w:r>
        <w:rPr>
          <w:b/>
          <w:u w:val="double"/>
        </w:rPr>
        <w:t>DBOFD</w:t>
      </w:r>
      <w:r>
        <w:rPr/>
        <w:t xml:space="preserve"> may </w:t>
      </w:r>
      <w:r>
        <w:rPr>
          <w:b/>
          <w:u w:val="double"/>
        </w:rPr>
        <w:t>not</w:t>
      </w:r>
      <w:r>
        <w:rPr/>
        <w:t xml:space="preserve"> assign, indorse or transfer any instrument evidencing all or any part of the Secured Obligations </w:t>
      </w:r>
      <w:r>
        <w:rPr>
          <w:strike/>
        </w:rPr>
        <w:t>as provided in, and in accordance with, the terms of the agreement evidencing the obligation, and the holder of such instrument shall be entitled to the benefits of this Agreement</w:t>
      </w:r>
      <w:r>
        <w:rPr/>
        <w:t>.</w:t>
      </w:r>
    </w:p>
    <w:p>
      <w:pPr>
        <w:pStyle w:val="TabbedL1"/>
        <w:widowControl/>
        <w:jc w:val="both"/>
        <w:rPr/>
      </w:pPr>
      <w:r>
        <w:rPr/>
        <w:t>11.</w:t>
        <w:tab/>
      </w:r>
      <w:r>
        <w:rPr>
          <w:u w:val="single"/>
        </w:rPr>
        <w:t>Termination</w:t>
      </w:r>
      <w:r>
        <w:rPr/>
        <w:t xml:space="preserve">.  Immediately following the Termination Date, </w:t>
      </w:r>
      <w:r>
        <w:rPr>
          <w:strike/>
        </w:rPr>
        <w:t>DBAG</w:t>
      </w:r>
      <w:r>
        <w:rPr/>
        <w:t xml:space="preserve"> </w:t>
      </w:r>
      <w:r>
        <w:rPr>
          <w:b/>
          <w:u w:val="double"/>
        </w:rPr>
        <w:t>DBOFD</w:t>
      </w:r>
      <w:r>
        <w:rPr/>
        <w:t xml:space="preserve"> shall deliver to Pledgor the Pledged Collateral pledged by Pledgor at the time subject to this Agreement and all instruments of assignment executed in connection therewith, free and clear of the Liens hereof and, except as otherwise provided herein, all of Pledgor’s obligations hereunder shall at such time terminate.</w:t>
      </w:r>
    </w:p>
    <w:p>
      <w:pPr>
        <w:pStyle w:val="TabbedL1"/>
        <w:widowControl/>
        <w:jc w:val="both"/>
        <w:rPr/>
      </w:pPr>
      <w:r>
        <w:rPr/>
        <w:t>12.</w:t>
        <w:tab/>
      </w:r>
      <w:r>
        <w:rPr>
          <w:u w:val="single"/>
        </w:rPr>
        <w:t>Lien Absolute</w:t>
      </w:r>
      <w:r>
        <w:rPr/>
        <w:t xml:space="preserve">.  </w:t>
      </w:r>
      <w:r>
        <w:rPr>
          <w:strike/>
        </w:rPr>
        <w:t>All rights of DBAG</w:t>
      </w:r>
      <w:r>
        <w:rPr/>
        <w:t xml:space="preserve"> </w:t>
      </w:r>
      <w:r>
        <w:rPr>
          <w:b/>
          <w:u w:val="double"/>
        </w:rPr>
        <w:t>Except for the rights of set off contained in the Structured Note and the Guaranty, all rights of DBOFD</w:t>
      </w:r>
      <w:r>
        <w:rPr/>
        <w:t xml:space="preserve"> hereunder, and all obligations of Pledgor hereunder, shall be absolute and unconditional irrespective of:</w:t>
      </w:r>
    </w:p>
    <w:p>
      <w:pPr>
        <w:pStyle w:val="TabbedL2"/>
        <w:widowControl/>
        <w:tabs>
          <w:tab w:val="clear" w:pos="2160"/>
          <w:tab w:val="clear" w:pos="2520"/>
        </w:tabs>
        <w:jc w:val="both"/>
        <w:rPr/>
      </w:pPr>
      <w:r>
        <w:rPr/>
        <w:t>(a)</w:t>
        <w:tab/>
        <w:t>any lack of validity or enforceability of any agreement or instrument governing or evidencing any Secured Obligations;</w:t>
      </w:r>
    </w:p>
    <w:p>
      <w:pPr>
        <w:pStyle w:val="TabbedL2"/>
        <w:widowControl/>
        <w:tabs>
          <w:tab w:val="clear" w:pos="2160"/>
          <w:tab w:val="clear" w:pos="2520"/>
        </w:tabs>
        <w:jc w:val="both"/>
        <w:rPr/>
      </w:pPr>
      <w:r>
        <w:rPr/>
        <w:t>(b)</w:t>
        <w:tab/>
        <w:t>any change in the time, manner or place of payment of, or in any other term of, all or any part of the Secured Obligations, or any other amendment or waiver of or any consent to any departure from any agreement or instrument governing or evidencing any Secured Obligations;</w:t>
      </w:r>
      <w:r>
        <w:rPr>
          <w:b/>
          <w:u w:val="double"/>
        </w:rPr>
        <w:t xml:space="preserve"> and</w:t>
      </w:r>
    </w:p>
    <w:p>
      <w:pPr>
        <w:pStyle w:val="TabbedL2"/>
        <w:widowControl/>
        <w:tabs>
          <w:tab w:val="clear" w:pos="2160"/>
          <w:tab w:val="clear" w:pos="2520"/>
        </w:tabs>
        <w:jc w:val="both"/>
        <w:rPr/>
      </w:pPr>
      <w:r>
        <w:rPr/>
        <w:t>(c)</w:t>
        <w:tab/>
        <w:t>any other circumstance which might otherwise constitute a defense available to, or a discharge of, Pledgor.</w:t>
      </w:r>
    </w:p>
    <w:p>
      <w:pPr>
        <w:pStyle w:val="TabbedL1"/>
        <w:widowControl/>
        <w:jc w:val="both"/>
        <w:rPr/>
      </w:pPr>
      <w:r>
        <w:rPr/>
        <w:t>13.</w:t>
        <w:tab/>
      </w:r>
      <w:r>
        <w:rPr>
          <w:u w:val="single"/>
        </w:rPr>
        <w:t>Reinstatement</w:t>
      </w:r>
      <w:r>
        <w:rPr/>
        <w:t>.  This Agreement shall remain in full force and effect and continue to be effective should any petition be filed by or against Pledgor  for liquidation or reorganization, should Pledgor become insolvent or make an assignment for the benefit of creditors or should a receiver or trustee be appointed for all or any significant part of Pledgor’s assets, and shall continue to be effective or be reinstated, as the case may be, if at any time payment and performance of the Secured Obligations, or any part thereof, is, pursuant to applicable law, rescinded or reduced in amount, or must otherwise be restored or returned by any obligee of the Secured Obligations, whether as a “voidable preference”, “fraudulent conveyance”, or otherwise, all as though such payment or performance had not been made.  In the event that any payment, or any part thereof, is rescinded, reduced, restored or returned, the Secured Obligations shall be reinstated and deemed reduced only by such amount paid and not so rescinded, reduced, restored or returned.</w:t>
      </w:r>
    </w:p>
    <w:p>
      <w:pPr>
        <w:pStyle w:val="TabbedL1"/>
        <w:widowControl/>
        <w:jc w:val="both"/>
        <w:rPr>
          <w:strike/>
        </w:rPr>
      </w:pPr>
      <w:r>
        <w:rPr/>
        <w:t>14.</w:t>
        <w:tab/>
      </w:r>
      <w:r>
        <w:rPr>
          <w:u w:val="single"/>
        </w:rPr>
        <w:t>Choice of Law</w:t>
      </w:r>
      <w:r>
        <w:rPr/>
        <w:t>.</w:t>
      </w:r>
    </w:p>
    <w:p>
      <w:pPr>
        <w:pStyle w:val="TabbedL1"/>
        <w:widowControl/>
        <w:jc w:val="both"/>
        <w:rPr/>
      </w:pPr>
      <w:r>
        <w:rPr/>
        <w:t xml:space="preserve">  </w:t>
      </w:r>
      <w:r>
        <w:rPr/>
        <w:t xml:space="preserve">THIS AGREEMENT SHALL BE BINDING UPON PLEDGOR AND ITS SUCCESSORS AND ASSIGNS (INCLUDING A DEBTOR-IN-POSSESSION ON BEHALF OF PLEDGOR), AND SHALL INURE TO THE BENEFIT OF, AND BE ENFORCEABLE BY, </w:t>
      </w:r>
      <w:r>
        <w:rPr>
          <w:strike/>
        </w:rPr>
        <w:t>DBAG AND ITS SUCCESSORS AND ASSIGNS</w:t>
      </w:r>
      <w:r>
        <w:rPr/>
        <w:t xml:space="preserve"> </w:t>
      </w:r>
      <w:r>
        <w:rPr>
          <w:b/>
          <w:u w:val="double"/>
        </w:rPr>
        <w:t>DBOFD</w:t>
      </w:r>
      <w:r>
        <w:rPr/>
        <w:t xml:space="preserve">, AND SHALL BE GOVERNED BY, AND CONSTRUED AND ENFORCED IN ACCORDANCE WITH, THE LAWS OF THE STATE OF NEW YORK APPLICABLE TO CONTRACTS MADE AND PERFORMED IN THAT STATE, AND NONE OF THE TERMS OR PROVISIONS OF THIS AGREEMENT MAY BE WAIVED, ALTERED, MODIFIED OR AMENDED EXCEPT IN WRITING DULY SIGNED FOR AND ON BEHALF OF </w:t>
      </w:r>
      <w:r>
        <w:rPr>
          <w:strike/>
        </w:rPr>
        <w:t>AGENT</w:t>
      </w:r>
      <w:r>
        <w:rPr/>
        <w:t xml:space="preserve"> </w:t>
      </w:r>
      <w:r>
        <w:rPr>
          <w:b/>
          <w:u w:val="double"/>
        </w:rPr>
        <w:t>THE COMPANY</w:t>
      </w:r>
      <w:r>
        <w:rPr/>
        <w:t xml:space="preserve"> AND </w:t>
      </w:r>
      <w:r>
        <w:rPr>
          <w:strike/>
        </w:rPr>
        <w:t>PLEDGOR</w:t>
      </w:r>
      <w:r>
        <w:rPr/>
        <w:t xml:space="preserve"> </w:t>
      </w:r>
      <w:r>
        <w:rPr>
          <w:b/>
          <w:u w:val="double"/>
        </w:rPr>
        <w:t>DBOFD</w:t>
      </w:r>
      <w:r>
        <w:rPr/>
        <w:t>.</w:t>
      </w:r>
    </w:p>
    <w:p>
      <w:pPr>
        <w:pStyle w:val="TabbedL1"/>
        <w:widowControl/>
        <w:jc w:val="both"/>
        <w:rPr/>
      </w:pPr>
      <w:r>
        <w:rPr/>
        <w:t>15.</w:t>
        <w:tab/>
      </w:r>
      <w:r>
        <w:rPr>
          <w:u w:val="single"/>
        </w:rPr>
        <w:t>Severability</w:t>
      </w:r>
      <w:r>
        <w:rPr/>
        <w:t>.  If for any reason any provision or provisions hereof are determined to be invalid and contrary to any existing or future law, such invalidity shall not impair the operation of or effect those portions of this Agreement which are valid.</w:t>
      </w:r>
    </w:p>
    <w:p>
      <w:pPr>
        <w:pStyle w:val="TabbedL1"/>
        <w:widowControl/>
        <w:jc w:val="both"/>
        <w:rPr/>
      </w:pPr>
      <w:r>
        <w:rPr/>
        <w:t>16.</w:t>
        <w:tab/>
      </w:r>
      <w:r>
        <w:rPr>
          <w:u w:val="single"/>
        </w:rPr>
        <w:t>Notices</w:t>
      </w:r>
      <w:r>
        <w:rPr/>
        <w:t>.  Except as otherwise provided herein, whenever it is provided herein that any notice, demand, request, consent, approval, declaration or other communication shall or may be given to or served upon any of the parties by any other party, or whenever any of the parties desires to give or serve upon any other a communication with respect to this Agreement, each such notice, demand, request, consent, approval, declaration or other communication shall be in writing and either shall be delivered in person or sent by registered or certified mail, return receipt requested, with proper postage prepaid, or by facsimile transmission and confirmed by delivery of a copy by personal delivery or United States mail as otherwise provided herein:</w:t>
      </w:r>
    </w:p>
    <w:p>
      <w:pPr>
        <w:pStyle w:val="TabbedL2"/>
        <w:widowControl/>
        <w:tabs>
          <w:tab w:val="clear" w:pos="2160"/>
          <w:tab w:val="clear" w:pos="2520"/>
        </w:tabs>
        <w:rPr/>
      </w:pPr>
      <w:r>
        <w:rPr/>
        <w:t>(a)</w:t>
        <w:tab/>
        <w:t xml:space="preserve">If to </w:t>
      </w:r>
      <w:r>
        <w:rPr>
          <w:strike/>
        </w:rPr>
        <w:t>DBAG</w:t>
      </w:r>
      <w:r>
        <w:rPr/>
        <w:t xml:space="preserve"> </w:t>
      </w:r>
      <w:r>
        <w:rPr>
          <w:b/>
          <w:u w:val="double"/>
        </w:rPr>
        <w:t>DBOFD</w:t>
      </w:r>
      <w:r>
        <w:rPr/>
        <w:t>, at:</w:t>
      </w:r>
    </w:p>
    <w:p>
      <w:pPr>
        <w:pStyle w:val="Normal"/>
        <w:widowControl/>
        <w:ind w:start="2880" w:end="0"/>
        <w:rPr/>
      </w:pPr>
      <w:r>
        <w:rPr>
          <w:b/>
          <w:u w:val="double"/>
        </w:rPr>
        <w:t>c/o</w:t>
      </w:r>
      <w:r>
        <w:rPr/>
        <w:t xml:space="preserve"> Deutsche Bank AG, New York Branch</w:t>
      </w:r>
    </w:p>
    <w:p>
      <w:pPr>
        <w:pStyle w:val="Normal"/>
        <w:widowControl/>
        <w:tabs>
          <w:tab w:val="clear" w:pos="720"/>
          <w:tab w:val="right" w:pos="6480" w:leader="none"/>
        </w:tabs>
        <w:spacing w:before="0" w:after="240"/>
        <w:ind w:start="2880" w:end="0"/>
        <w:rPr/>
      </w:pPr>
      <w:r>
        <w:rPr/>
        <w:t>31 West 52nd Street</w:t>
      </w:r>
      <w:r>
        <w:rPr>
          <w:u w:val="single"/>
        </w:rPr>
        <w:br/>
      </w:r>
      <w:r>
        <w:rPr/>
        <w:t>New York, New York  10019</w:t>
      </w:r>
      <w:r>
        <w:rPr>
          <w:u w:val="single"/>
        </w:rPr>
        <w:br/>
      </w:r>
      <w:r>
        <w:rPr/>
        <w:t xml:space="preserve">Attention: </w:t>
      </w:r>
      <w:r>
        <w:rPr>
          <w:u w:val="single"/>
        </w:rPr>
        <w:tab/>
        <w:br/>
      </w:r>
      <w:r>
        <w:rPr>
          <w:rStyle w:val="ParaNum"/>
          <w:sz w:val="24"/>
        </w:rPr>
        <w:t>Fax</w:t>
      </w:r>
      <w:r>
        <w:rPr/>
        <w:t xml:space="preserve"> No.: </w:t>
      </w:r>
      <w:r>
        <w:rPr>
          <w:u w:val="single"/>
        </w:rPr>
        <w:tab/>
      </w:r>
    </w:p>
    <w:p>
      <w:pPr>
        <w:pStyle w:val="Normal"/>
        <w:widowControl/>
        <w:tabs>
          <w:tab w:val="clear" w:pos="720"/>
          <w:tab w:val="right" w:pos="6480" w:leader="none"/>
        </w:tabs>
        <w:spacing w:before="0" w:after="240"/>
        <w:ind w:start="2880" w:end="0"/>
        <w:rPr>
          <w:u w:val="single"/>
        </w:rPr>
      </w:pPr>
      <w:r>
        <w:rPr>
          <w:u w:val="single"/>
        </w:rPr>
      </w:r>
    </w:p>
    <w:p>
      <w:pPr>
        <w:pStyle w:val="TabbedL2"/>
        <w:widowControl/>
        <w:tabs>
          <w:tab w:val="clear" w:pos="2160"/>
          <w:tab w:val="clear" w:pos="2520"/>
        </w:tabs>
        <w:rPr/>
      </w:pPr>
      <w:r>
        <w:rPr/>
        <w:t>(b)</w:t>
        <w:tab/>
        <w:t>If to Pledgor, at:</w:t>
      </w:r>
    </w:p>
    <w:p>
      <w:pPr>
        <w:pStyle w:val="Normal"/>
        <w:widowControl/>
        <w:tabs>
          <w:tab w:val="clear" w:pos="720"/>
          <w:tab w:val="right" w:pos="6480" w:leader="none"/>
        </w:tabs>
        <w:ind w:start="2880" w:end="0"/>
        <w:rPr>
          <w:b/>
          <w:u w:val="double"/>
        </w:rPr>
      </w:pPr>
      <w:r>
        <w:rPr>
          <w:b/>
          <w:u w:val="double"/>
        </w:rPr>
        <w:t>Enron Corp.</w:t>
      </w:r>
      <w:r>
        <w:rPr/>
        <w:tab/>
        <w:br/>
      </w:r>
      <w:r>
        <w:rPr>
          <w:b/>
          <w:u w:val="double"/>
        </w:rPr>
        <w:t>1400 Smith Street</w:t>
      </w:r>
      <w:r>
        <w:rPr/>
        <w:tab/>
      </w:r>
    </w:p>
    <w:p>
      <w:pPr>
        <w:pStyle w:val="Normal"/>
        <w:widowControl/>
        <w:tabs>
          <w:tab w:val="clear" w:pos="720"/>
          <w:tab w:val="right" w:pos="6480" w:leader="none"/>
        </w:tabs>
        <w:ind w:start="2880" w:end="0"/>
        <w:rPr>
          <w:b/>
          <w:u w:val="double"/>
        </w:rPr>
      </w:pPr>
      <w:r>
        <w:rPr>
          <w:b/>
          <w:u w:val="double"/>
        </w:rPr>
        <w:t>Houston, Texas 77002</w:t>
      </w:r>
    </w:p>
    <w:p>
      <w:pPr>
        <w:pStyle w:val="Normal"/>
        <w:widowControl/>
        <w:tabs>
          <w:tab w:val="clear" w:pos="720"/>
          <w:tab w:val="right" w:pos="6480" w:leader="none"/>
        </w:tabs>
        <w:ind w:start="2880" w:end="0"/>
        <w:rPr>
          <w:b/>
          <w:u w:val="double"/>
        </w:rPr>
      </w:pPr>
      <w:r>
        <w:rPr>
          <w:b/>
          <w:u w:val="double"/>
        </w:rPr>
        <w:t>Attn:  Vice President, Finance and</w:t>
      </w:r>
    </w:p>
    <w:p>
      <w:pPr>
        <w:pStyle w:val="Normal"/>
        <w:widowControl/>
        <w:tabs>
          <w:tab w:val="clear" w:pos="720"/>
          <w:tab w:val="right" w:pos="6480" w:leader="none"/>
        </w:tabs>
        <w:ind w:start="2880" w:end="0"/>
        <w:rPr>
          <w:b/>
          <w:u w:val="double"/>
        </w:rPr>
      </w:pPr>
      <w:r>
        <w:rPr>
          <w:b/>
          <w:u w:val="double"/>
        </w:rPr>
        <w:t xml:space="preserve">             </w:t>
      </w:r>
      <w:r>
        <w:rPr>
          <w:b/>
          <w:u w:val="double"/>
        </w:rPr>
        <w:t>General Counsel</w:t>
      </w:r>
    </w:p>
    <w:p>
      <w:pPr>
        <w:pStyle w:val="Normal"/>
        <w:widowControl/>
        <w:tabs>
          <w:tab w:val="clear" w:pos="720"/>
          <w:tab w:val="right" w:pos="6480" w:leader="none"/>
        </w:tabs>
        <w:ind w:start="2880" w:end="0"/>
        <w:rPr/>
      </w:pPr>
      <w:r>
        <w:rPr>
          <w:b/>
          <w:u w:val="double"/>
        </w:rPr>
        <w:t>Fax No.: (713) 646-3422</w:t>
      </w:r>
      <w:r>
        <w:rPr/>
        <w:t xml:space="preserve"> </w:t>
      </w:r>
      <w:r>
        <w:rPr>
          <w:strike/>
        </w:rPr>
        <w:t>With copies to:</w:t>
      </w:r>
    </w:p>
    <w:p>
      <w:pPr>
        <w:pStyle w:val="Normal"/>
        <w:widowControl/>
        <w:tabs>
          <w:tab w:val="clear" w:pos="720"/>
          <w:tab w:val="right" w:pos="6480" w:leader="none"/>
        </w:tabs>
        <w:ind w:start="2880" w:end="0"/>
        <w:rPr/>
      </w:pPr>
      <w:r>
        <w:rPr/>
      </w:r>
    </w:p>
    <w:p>
      <w:pPr>
        <w:pStyle w:val="BodyText3"/>
        <w:widowControl/>
        <w:jc w:val="both"/>
        <w:rPr/>
      </w:pPr>
      <w:r>
        <w:rPr/>
        <w:t xml:space="preserve">or at such other address as may be substituted by notice given as herein provided.  The giving of any notice required hereunder may be waived in writing by the party entitled to receive such notice.  Every notice, demand, request, consent, approval, declaration or other communication hereunder shall be deemed to have been duly served, given or delivered (a) upon the earlier of actual receipt and three (3) business days after deposit in the United States mail, registered or certified mail, return receipt requested, with proper postage prepaid, (b) upon transmission, when sent by telecopy or other similar facsimile transmission (with such telecopy or facsimile promptly confirmed by delivery of a copy by personal delivery or United States mail as otherwise provided in this </w:t>
      </w:r>
      <w:r>
        <w:rPr>
          <w:u w:val="single"/>
        </w:rPr>
        <w:t>Section 16</w:t>
      </w:r>
      <w:r>
        <w:rPr/>
        <w:t>, (c) one (1) business day after deposit with a reputable overnight courier with all charges prepaid, or (d) when delivered, if hand-delivered by messenger.  Failure or delay in delivering copies of any notice, demand, request, consent, approval, declaration or other communication to the persons designated above to receive copies shall in no way adversely affect the effectiveness of such notice, demand, request, consent, approval, declaration or other communication.</w:t>
      </w:r>
    </w:p>
    <w:p>
      <w:pPr>
        <w:pStyle w:val="TabbedL1"/>
        <w:widowControl/>
        <w:jc w:val="both"/>
        <w:rPr/>
      </w:pPr>
      <w:r>
        <w:rPr/>
        <w:t>17.</w:t>
        <w:tab/>
      </w:r>
      <w:r>
        <w:rPr>
          <w:u w:val="single"/>
        </w:rPr>
        <w:t>Section Titles</w:t>
      </w:r>
      <w:r>
        <w:rPr/>
        <w:t>.  The Section titles contained in this Agreement are and shall be without substantive meaning or content of any kind whatsoever and are not a part of the agreement between the parties hereto.</w:t>
      </w:r>
    </w:p>
    <w:p>
      <w:pPr>
        <w:pStyle w:val="TabbedL1"/>
        <w:widowControl/>
        <w:jc w:val="both"/>
        <w:rPr/>
      </w:pPr>
      <w:r>
        <w:rPr/>
        <w:t>18.</w:t>
        <w:tab/>
      </w:r>
      <w:r>
        <w:rPr>
          <w:u w:val="single"/>
        </w:rPr>
        <w:t>Counterparts</w:t>
      </w:r>
      <w:r>
        <w:rPr/>
        <w:t>.  This Agreement may be executed in any number of counterparts, which shall, collectively and separately, constitute one agreement.</w:t>
      </w:r>
    </w:p>
    <w:p>
      <w:pPr>
        <w:pStyle w:val="TabbedL1"/>
        <w:widowControl/>
        <w:jc w:val="both"/>
        <w:rPr/>
      </w:pPr>
      <w:r>
        <w:rPr/>
        <w:t>19.</w:t>
        <w:tab/>
      </w:r>
      <w:r>
        <w:rPr>
          <w:u w:val="single"/>
        </w:rPr>
        <w:t xml:space="preserve">Benefit of </w:t>
      </w:r>
      <w:r>
        <w:rPr>
          <w:strike/>
          <w:u w:val="single"/>
        </w:rPr>
        <w:t>Lenders</w:t>
      </w:r>
      <w:r>
        <w:rPr>
          <w:u w:val="single"/>
        </w:rPr>
        <w:t xml:space="preserve"> </w:t>
      </w:r>
      <w:r>
        <w:rPr>
          <w:b/>
          <w:u w:val="double"/>
        </w:rPr>
        <w:t>DBOFD</w:t>
      </w:r>
      <w:r>
        <w:rPr/>
        <w:t xml:space="preserve">.  All security interests granted or contemplated hereby shall be for the benefit of </w:t>
      </w:r>
      <w:r>
        <w:rPr>
          <w:strike/>
        </w:rPr>
        <w:t>DBAG</w:t>
      </w:r>
      <w:r>
        <w:rPr/>
        <w:t xml:space="preserve"> </w:t>
      </w:r>
      <w:r>
        <w:rPr>
          <w:b/>
          <w:u w:val="double"/>
        </w:rPr>
        <w:t>DBOFD</w:t>
      </w:r>
      <w:r>
        <w:rPr/>
        <w:t xml:space="preserve">, and all proceeds or payments realized from the Pledged Collateral </w:t>
      </w:r>
      <w:r>
        <w:rPr>
          <w:b/>
          <w:u w:val="double"/>
        </w:rPr>
        <w:t>following an Event of Default</w:t>
      </w:r>
      <w:r>
        <w:rPr/>
        <w:t xml:space="preserve"> in accordance herewith shall be applied to the Secured Obligations.</w:t>
      </w:r>
    </w:p>
    <w:p>
      <w:pPr>
        <w:pStyle w:val="NumContinue"/>
        <w:widowControl/>
        <w:rPr/>
      </w:pPr>
      <w:r>
        <w:rPr/>
      </w:r>
    </w:p>
    <w:p>
      <w:pPr>
        <w:pStyle w:val="Normal"/>
        <w:widowControl/>
        <w:jc w:val="center"/>
        <w:rPr/>
      </w:pPr>
      <w:r>
        <w:rPr/>
        <w:t>[REMAINDER OF PAGE INTENTIONALLY LEFT BLANK]</w:t>
      </w:r>
      <w:r>
        <w:br w:type="page"/>
      </w:r>
    </w:p>
    <w:p>
      <w:pPr>
        <w:pStyle w:val="BodyText"/>
        <w:widowControl/>
        <w:rPr/>
      </w:pPr>
      <w:r>
        <w:rPr/>
        <w:t>IN WITNESS WHEREOF, the parties hereto have caused this Agreement to be duly executed as of the date first written above.</w:t>
      </w:r>
    </w:p>
    <w:p>
      <w:pPr>
        <w:pStyle w:val="Normal"/>
        <w:widowControl/>
        <w:tabs>
          <w:tab w:val="clear" w:pos="720"/>
          <w:tab w:val="right" w:pos="8460" w:leader="none"/>
        </w:tabs>
        <w:spacing w:before="360" w:after="720"/>
        <w:ind w:start="4320" w:end="0"/>
        <w:rPr>
          <w:caps/>
        </w:rPr>
      </w:pPr>
      <w:r>
        <w:rPr>
          <w:caps/>
          <w:strike/>
        </w:rPr>
        <w:t>DEUTSCHE BANK AG, NEW YORK BRANCH</w:t>
      </w:r>
      <w:r>
        <w:rPr>
          <w:caps/>
        </w:rPr>
        <w:t xml:space="preserve"> </w:t>
      </w:r>
      <w:r>
        <w:rPr>
          <w:b/>
          <w:caps/>
          <w:u w:val="double"/>
        </w:rPr>
        <w:t xml:space="preserve">DB Overseas Finance Deutscheland AG </w:t>
      </w:r>
    </w:p>
    <w:p>
      <w:pPr>
        <w:pStyle w:val="Normal"/>
        <w:widowControl/>
        <w:tabs>
          <w:tab w:val="clear" w:pos="720"/>
          <w:tab w:val="right" w:pos="8460" w:leader="none"/>
        </w:tabs>
        <w:spacing w:before="360" w:after="720"/>
        <w:ind w:start="4320" w:end="0"/>
        <w:rPr/>
      </w:pPr>
      <w:r>
        <w:rPr/>
        <w:t>By:</w:t>
      </w:r>
      <w:r>
        <w:rPr>
          <w:u w:val="single"/>
        </w:rPr>
        <w:tab/>
        <w:br/>
      </w:r>
      <w:r>
        <w:rPr/>
        <w:t>Name:</w:t>
      </w:r>
      <w:r>
        <w:rPr>
          <w:u w:val="single"/>
        </w:rPr>
        <w:tab/>
        <w:br/>
      </w:r>
      <w:r>
        <w:rPr/>
        <w:t>Title:</w:t>
      </w:r>
      <w:r>
        <w:rPr>
          <w:u w:val="single"/>
        </w:rPr>
        <w:tab/>
      </w:r>
    </w:p>
    <w:p>
      <w:pPr>
        <w:pStyle w:val="Normal"/>
        <w:widowControl/>
        <w:tabs>
          <w:tab w:val="clear" w:pos="720"/>
          <w:tab w:val="right" w:pos="8460" w:leader="none"/>
        </w:tabs>
        <w:spacing w:before="0" w:after="480"/>
        <w:ind w:start="4320" w:end="0"/>
        <w:rPr/>
      </w:pPr>
      <w:r>
        <w:rPr/>
        <w:t>By:</w:t>
      </w:r>
      <w:r>
        <w:rPr>
          <w:u w:val="single"/>
        </w:rPr>
        <w:tab/>
        <w:br/>
      </w:r>
      <w:r>
        <w:rPr/>
        <w:t>Name:</w:t>
      </w:r>
      <w:r>
        <w:rPr>
          <w:u w:val="single"/>
        </w:rPr>
        <w:tab/>
        <w:br/>
      </w:r>
      <w:r>
        <w:rPr/>
        <w:t>Title:</w:t>
      </w:r>
      <w:r>
        <w:rPr>
          <w:u w:val="single"/>
        </w:rPr>
        <w:tab/>
      </w:r>
    </w:p>
    <w:p>
      <w:pPr>
        <w:pStyle w:val="Normal"/>
        <w:widowControl/>
        <w:tabs>
          <w:tab w:val="clear" w:pos="720"/>
          <w:tab w:val="right" w:pos="8460" w:leader="none"/>
        </w:tabs>
        <w:spacing w:before="0" w:after="480"/>
        <w:ind w:start="4320" w:end="0"/>
        <w:rPr>
          <w:u w:val="single"/>
        </w:rPr>
      </w:pPr>
      <w:r>
        <w:rPr>
          <w:u w:val="single"/>
        </w:rPr>
      </w:r>
    </w:p>
    <w:p>
      <w:pPr>
        <w:pStyle w:val="Normal"/>
        <w:widowControl/>
        <w:tabs>
          <w:tab w:val="clear" w:pos="720"/>
          <w:tab w:val="right" w:pos="8460" w:leader="none"/>
        </w:tabs>
        <w:spacing w:before="0" w:after="480"/>
        <w:ind w:start="4320" w:end="0"/>
        <w:rPr/>
      </w:pPr>
      <w:r>
        <w:rPr/>
        <w:t>ENRON CORP.</w:t>
      </w:r>
    </w:p>
    <w:p>
      <w:pPr>
        <w:pStyle w:val="Normal"/>
        <w:widowControl/>
        <w:tabs>
          <w:tab w:val="clear" w:pos="720"/>
          <w:tab w:val="right" w:pos="8460" w:leader="none"/>
        </w:tabs>
        <w:spacing w:before="0" w:after="480"/>
        <w:ind w:start="4320" w:end="0"/>
        <w:rPr/>
      </w:pPr>
      <w:r>
        <w:rPr/>
        <w:t>By:</w:t>
      </w:r>
      <w:r>
        <w:rPr>
          <w:u w:val="single"/>
        </w:rPr>
        <w:tab/>
        <w:br/>
      </w:r>
      <w:r>
        <w:rPr/>
        <w:t>Name:</w:t>
      </w:r>
      <w:r>
        <w:rPr>
          <w:u w:val="single"/>
        </w:rPr>
        <w:tab/>
        <w:br/>
      </w:r>
      <w:r>
        <w:rPr/>
        <w:t>Title:</w:t>
      </w:r>
      <w:r>
        <w:rPr>
          <w:u w:val="single"/>
        </w:rPr>
        <w:tab/>
      </w:r>
    </w:p>
    <w:p>
      <w:pPr>
        <w:pStyle w:val="Normal"/>
        <w:widowControl/>
        <w:spacing w:before="0" w:after="240"/>
        <w:jc w:val="center"/>
        <w:rPr/>
      </w:pPr>
      <w:r>
        <w:rPr/>
      </w:r>
      <w:r>
        <w:br w:type="page"/>
      </w:r>
    </w:p>
    <w:p>
      <w:pPr>
        <w:pStyle w:val="Normal"/>
        <w:widowControl/>
        <w:spacing w:before="0" w:after="240"/>
        <w:jc w:val="center"/>
        <w:rPr/>
      </w:pPr>
      <w:r>
        <w:rPr/>
      </w:r>
    </w:p>
    <w:p>
      <w:pPr>
        <w:pStyle w:val="Normal"/>
        <w:widowControl/>
        <w:spacing w:before="0" w:after="240"/>
        <w:jc w:val="center"/>
        <w:rPr/>
      </w:pPr>
      <w:r>
        <w:rPr/>
        <w:t xml:space="preserve">This redlined draft, generated by CompareRite (TM) - The Instant Redliner, shows the differences between - </w:t>
      </w:r>
    </w:p>
    <w:p>
      <w:pPr>
        <w:pStyle w:val="Normal"/>
        <w:widowControl/>
        <w:spacing w:before="0" w:after="240"/>
        <w:jc w:val="center"/>
        <w:rPr/>
      </w:pPr>
      <w:r>
        <w:rPr/>
        <w:t>original document   : C:\NRTECHO\HOUSTON\SC5211\148786_1.DOC</w:t>
      </w:r>
    </w:p>
    <w:p>
      <w:pPr>
        <w:pStyle w:val="Normal"/>
        <w:widowControl/>
        <w:spacing w:before="0" w:after="240"/>
        <w:jc w:val="center"/>
        <w:rPr/>
      </w:pPr>
      <w:r>
        <w:rPr/>
        <w:t>and revised document: C:\NRTECHO\HOUSTON\SC5211\148786_2.DOC</w:t>
      </w:r>
    </w:p>
    <w:p>
      <w:pPr>
        <w:pStyle w:val="Normal"/>
        <w:widowControl/>
        <w:spacing w:before="0" w:after="240"/>
        <w:jc w:val="center"/>
        <w:rPr/>
      </w:pPr>
      <w:r>
        <w:rPr/>
      </w:r>
    </w:p>
    <w:p>
      <w:pPr>
        <w:pStyle w:val="Normal"/>
        <w:widowControl/>
        <w:spacing w:before="0" w:after="240"/>
        <w:jc w:val="center"/>
        <w:rPr/>
      </w:pPr>
      <w:r>
        <w:rPr/>
        <w:t>CompareRite found   78 change(s) in the text</w:t>
      </w:r>
    </w:p>
    <w:p>
      <w:pPr>
        <w:pStyle w:val="Normal"/>
        <w:widowControl/>
        <w:spacing w:before="0" w:after="240"/>
        <w:jc w:val="center"/>
        <w:rPr/>
      </w:pPr>
      <w:r>
        <w:rPr/>
      </w:r>
    </w:p>
    <w:p>
      <w:pPr>
        <w:pStyle w:val="Normal"/>
        <w:widowControl/>
        <w:spacing w:before="0" w:after="240"/>
        <w:jc w:val="center"/>
        <w:rPr/>
      </w:pPr>
      <w:r>
        <w:rPr/>
        <w:t xml:space="preserve">Deletions appear as Overstrike text </w:t>
      </w:r>
    </w:p>
    <w:p>
      <w:pPr>
        <w:pStyle w:val="Normal"/>
        <w:widowControl/>
        <w:spacing w:before="0" w:after="240"/>
        <w:jc w:val="center"/>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800" w:right="1800" w:gutter="0" w:header="432" w:top="180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NY2:\883360\01\$XLS01!.DOC\41286.0004</w:t>
    </w:r>
    <w:r>
      <w:rPr>
        <w:rStyle w:val="TrailerWGM"/>
      </w:rPr>
      <w:fldChar w:fldCharType="end"/>
    </w:r>
    <w:r>
      <w:rPr>
        <w:rStyle w:val="PageNumber"/>
        <w:sz w:val="24"/>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p>
    <w:pPr>
      <w:pStyle w:val="Footer"/>
      <w:widowControl/>
      <w:rPr/>
    </w:pPr>
    <w:r>
      <w:rPr>
        <w:rStyle w:val="TrailerWGM"/>
        <w:sz w:val="16"/>
      </w:rPr>
      <w:t>Houston:152161 v 1</w:t>
    </w:r>
  </w:p>
  <w:p>
    <w:pPr>
      <w:pStyle w:val="Footer"/>
      <w:widowControl/>
      <w:rPr/>
    </w:pPr>
    <w:r>
      <w:rPr>
        <w:caps/>
        <w:sz w:val="16"/>
      </w:rPr>
      <w:t>CMP of doc 148786 1v2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TrailerWGM"/>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NY2:\883360\01\$XLS01!.DOC\41286.0004</w:t>
    </w:r>
    <w:r>
      <w:rPr>
        <w:rStyle w:val="TrailerWGM"/>
      </w:rPr>
      <w:fldChar w:fldCharType="end"/>
    </w:r>
  </w:p>
  <w:p>
    <w:pPr>
      <w:pStyle w:val="Footer"/>
      <w:widowControl/>
      <w:rPr/>
    </w:pPr>
    <w:r>
      <w:rPr>
        <w:rStyle w:val="TrailerWGM"/>
        <w:sz w:val="16"/>
      </w:rPr>
      <w:t>Houston:152161 v 1</w:t>
    </w:r>
  </w:p>
  <w:p>
    <w:pPr>
      <w:pStyle w:val="Footer"/>
      <w:widowControl/>
      <w:rPr/>
    </w:pPr>
    <w:r>
      <w:rPr>
        <w:caps/>
        <w:sz w:val="16"/>
      </w:rPr>
      <w:t>CMP of doc 148786 1v2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end"/>
      <w:rPr>
        <w:b/>
      </w:rPr>
    </w:pPr>
    <w:r>
      <w:rPr>
        <w:b/>
      </w:rPr>
      <w:t>Enron/V&amp;E Comments</w:t>
    </w:r>
  </w:p>
  <w:p>
    <w:pPr>
      <w:pStyle w:val="Normal"/>
      <w:widowControl/>
      <w:jc w:val="end"/>
      <w:rPr>
        <w:b/>
      </w:rPr>
    </w:pPr>
    <w:r>
      <w:rPr>
        <w:b/>
      </w:rPr>
      <w:t>3/8/00 to</w:t>
    </w:r>
  </w:p>
  <w:p>
    <w:pPr>
      <w:pStyle w:val="Normal"/>
      <w:widowControl/>
      <w:jc w:val="end"/>
      <w:rPr>
        <w:b/>
      </w:rPr>
    </w:pPr>
    <w:r>
      <w:rPr>
        <w:b/>
      </w:rPr>
      <w:t xml:space="preserve">WGM DRAFT </w:t>
    </w:r>
  </w:p>
  <w:p>
    <w:pPr>
      <w:pStyle w:val="Normal"/>
      <w:widowControl/>
      <w:spacing w:before="0" w:after="240"/>
      <w:jc w:val="end"/>
      <w:rPr>
        <w:b/>
      </w:rPr>
    </w:pPr>
    <w:r>
      <w:rPr>
        <w:b/>
      </w:rPr>
      <w:t>02/28/00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6">
    <w:name w:val="heading 6"/>
    <w:basedOn w:val="Normal"/>
    <w:next w:val="BodyText"/>
    <w:qFormat/>
    <w:pPr>
      <w:numPr>
        <w:ilvl w:val="5"/>
        <w:numId w:val="1"/>
      </w:numPr>
      <w:spacing w:before="0" w:after="240"/>
      <w:ind w:firstLine="1440" w:start="720" w:end="0"/>
      <w:outlineLvl w:val="5"/>
    </w:pPr>
    <w:rPr/>
  </w:style>
  <w:style w:type="paragraph" w:styleId="Heading7">
    <w:name w:val="heading 7"/>
    <w:basedOn w:val="Normal"/>
    <w:next w:val="Normal"/>
    <w:qFormat/>
    <w:pPr>
      <w:numPr>
        <w:ilvl w:val="6"/>
        <w:numId w:val="1"/>
      </w:numPr>
      <w:spacing w:before="240" w:after="60"/>
      <w:outlineLvl w:val="6"/>
    </w:pPr>
    <w:rPr>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 w:val="20"/>
    </w:rPr>
  </w:style>
  <w:style w:type="character" w:styleId="TrailerWGM">
    <w:name w:val="Trailer WGM"/>
    <w:basedOn w:val="DefaultParagraphFont"/>
    <w:qFormat/>
    <w:rPr>
      <w:caps/>
      <w:sz w:val="14"/>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zzmpTCEntryL1">
    <w:name w:val="zzmpTCEntryL1"/>
    <w:basedOn w:val="DefaultParagraphFont"/>
    <w:qFormat/>
    <w:rPr>
      <w:b/>
      <w:caps/>
      <w:color w:val="0000FF"/>
      <w:sz w:val="20"/>
    </w:rPr>
  </w:style>
  <w:style w:type="character" w:styleId="zzmpTCEntryL2">
    <w:name w:val="zzmpTCEntryL2"/>
    <w:basedOn w:val="DefaultParagraphFont"/>
    <w:qFormat/>
    <w:rPr>
      <w:b/>
      <w:color w:val="0000FF"/>
      <w:sz w:val="20"/>
    </w:rPr>
  </w:style>
  <w:style w:type="character" w:styleId="zzmpTCEntryL3">
    <w:name w:val="zzmpTCEntryL3"/>
    <w:basedOn w:val="DefaultParagraphFont"/>
    <w:qFormat/>
    <w:rPr>
      <w:b/>
      <w:color w:val="0000FF"/>
      <w:sz w:val="20"/>
    </w:rPr>
  </w:style>
  <w:style w:type="character" w:styleId="zzmpTCEntryL4">
    <w:name w:val="zzmpTCEntryL4"/>
    <w:basedOn w:val="DefaultParagraphFont"/>
    <w:qFormat/>
    <w:rPr>
      <w:b/>
      <w:color w:val="0000FF"/>
      <w:sz w:val="20"/>
    </w:rPr>
  </w:style>
  <w:style w:type="character" w:styleId="zzmpTCEntryL5">
    <w:name w:val="zzmpTCEntryL5"/>
    <w:basedOn w:val="DefaultParagraphFont"/>
    <w:qFormat/>
    <w:rPr>
      <w:color w:val="0000FF"/>
      <w:sz w:val="20"/>
    </w:rPr>
  </w:style>
  <w:style w:type="character" w:styleId="zzmpTCEntryL6">
    <w:name w:val="zzmpTCEntryL6"/>
    <w:basedOn w:val="DefaultParagraphFont"/>
    <w:qFormat/>
    <w:rPr>
      <w:color w:val="0000FF"/>
      <w:sz w:val="20"/>
    </w:rPr>
  </w:style>
  <w:style w:type="character" w:styleId="zzmpTCEntryL7">
    <w:name w:val="zzmpTCEntryL7"/>
    <w:basedOn w:val="DefaultParagraphFont"/>
    <w:qFormat/>
    <w:rPr>
      <w:color w:val="0000FF"/>
      <w:sz w:val="20"/>
    </w:rPr>
  </w:style>
  <w:style w:type="character" w:styleId="zzmpTCEntryL8">
    <w:name w:val="zzmpTCEntryL8"/>
    <w:basedOn w:val="DefaultParagraphFont"/>
    <w:qFormat/>
    <w:rPr>
      <w:color w:val="0000FF"/>
      <w:sz w:val="20"/>
    </w:rPr>
  </w:style>
  <w:style w:type="character" w:styleId="zzmpTCEntryL9">
    <w:name w:val="zzmpTCEntryL9"/>
    <w:basedOn w:val="DefaultParagraphFont"/>
    <w:qFormat/>
    <w:rPr>
      <w:color w:val="0000FF"/>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spacing w:before="0" w:after="240"/>
      <w:jc w:val="center"/>
    </w:pPr>
    <w:rPr>
      <w:b/>
      <w:u w:val="single"/>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6"/>
      </w:num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Indent">
    <w:name w:val="Body Text Indent"/>
    <w:basedOn w:val="Normal"/>
    <w:pPr>
      <w:spacing w:before="0" w:after="240"/>
      <w:ind w:hanging="0" w:start="1440" w:end="0"/>
    </w:pPr>
    <w:rPr/>
  </w:style>
  <w:style w:type="paragraph" w:styleId="BodyText3">
    <w:name w:val="Body Text 3"/>
    <w:basedOn w:val="Normal"/>
    <w:qFormat/>
    <w:pPr>
      <w:spacing w:before="0" w:after="24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tyle>
  <w:style w:type="paragraph" w:styleId="FootnoteText">
    <w:name w:val="footnote text"/>
    <w:basedOn w:val="Normal"/>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2"/>
      </w:numPr>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3"/>
      </w:num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4"/>
      </w:num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5"/>
      </w:numPr>
      <w:spacing w:before="0" w:after="240"/>
      <w:ind w:hanging="720" w:start="360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7"/>
      </w:numPr>
      <w:spacing w:before="0" w:after="240"/>
      <w:ind w:hanging="720" w:start="1440" w:end="0"/>
    </w:pPr>
    <w:rPr/>
  </w:style>
  <w:style w:type="paragraph" w:styleId="ListNumber3">
    <w:name w:val="List Number 3"/>
    <w:basedOn w:val="Normal"/>
    <w:qFormat/>
    <w:pPr>
      <w:numPr>
        <w:ilvl w:val="0"/>
        <w:numId w:val="8"/>
      </w:numPr>
      <w:spacing w:before="0" w:after="240"/>
      <w:ind w:hanging="720" w:start="2160" w:end="0"/>
    </w:pPr>
    <w:rPr/>
  </w:style>
  <w:style w:type="paragraph" w:styleId="ListNumber4">
    <w:name w:val="List Number 4"/>
    <w:basedOn w:val="Normal"/>
    <w:qFormat/>
    <w:pPr>
      <w:numPr>
        <w:ilvl w:val="0"/>
        <w:numId w:val="9"/>
      </w:numPr>
      <w:spacing w:before="0" w:after="240"/>
      <w:ind w:hanging="720" w:start="2880" w:end="0"/>
    </w:pPr>
    <w:rPr/>
  </w:style>
  <w:style w:type="paragraph" w:styleId="ListNumber5">
    <w:name w:val="List Number 5"/>
    <w:basedOn w:val="Normal"/>
    <w:qFormat/>
    <w:pPr>
      <w:numPr>
        <w:ilvl w:val="0"/>
        <w:numId w:val="10"/>
      </w:numPr>
      <w:spacing w:before="0" w:after="240"/>
      <w:ind w:hanging="720" w:start="3600" w:end="0"/>
    </w:pPr>
    <w:rPr/>
  </w:style>
  <w:style w:type="paragraph" w:styleId="ListNumber">
    <w:name w:val="List Number"/>
    <w:basedOn w:val="Normal"/>
    <w:qFormat/>
    <w:pPr>
      <w:numPr>
        <w:ilvl w:val="0"/>
        <w:numId w:val="11"/>
      </w:numPr>
      <w:spacing w:before="0" w:after="240"/>
      <w:ind w:hanging="720" w:start="720" w:end="0"/>
    </w:pPr>
    <w:rPr/>
  </w:style>
  <w:style w:type="paragraph" w:styleId="ListBullet21">
    <w:name w:val="List Bullet 21"/>
    <w:basedOn w:val="Normal"/>
    <w:qFormat/>
    <w:pPr>
      <w:numPr>
        <w:ilvl w:val="0"/>
        <w:numId w:val="12"/>
      </w:numPr>
      <w:tabs>
        <w:tab w:val="left" w:pos="720" w:leader="none"/>
      </w:tabs>
      <w:spacing w:before="0" w:after="240"/>
      <w:ind w:hanging="720" w:start="1440" w:end="0"/>
    </w:pPr>
    <w:rPr/>
  </w:style>
  <w:style w:type="paragraph" w:styleId="ListBullet31">
    <w:name w:val="List Bullet 31"/>
    <w:basedOn w:val="Normal"/>
    <w:qFormat/>
    <w:pPr>
      <w:numPr>
        <w:ilvl w:val="0"/>
        <w:numId w:val="13"/>
      </w:numPr>
      <w:spacing w:before="0" w:after="240"/>
      <w:ind w:hanging="720" w:start="2160" w:end="0"/>
    </w:pPr>
    <w:rPr/>
  </w:style>
  <w:style w:type="paragraph" w:styleId="ListBullet41">
    <w:name w:val="List Bullet 41"/>
    <w:basedOn w:val="Normal"/>
    <w:qFormat/>
    <w:pPr>
      <w:numPr>
        <w:ilvl w:val="0"/>
        <w:numId w:val="14"/>
      </w:numPr>
      <w:spacing w:before="0" w:after="240"/>
      <w:ind w:hanging="720" w:start="2880" w:end="0"/>
    </w:pPr>
    <w:rPr/>
  </w:style>
  <w:style w:type="paragraph" w:styleId="ListBullet51">
    <w:name w:val="List Bullet 51"/>
    <w:basedOn w:val="Normal"/>
    <w:qFormat/>
    <w:pPr>
      <w:numPr>
        <w:ilvl w:val="0"/>
        <w:numId w:val="15"/>
      </w:numPr>
      <w:spacing w:before="0" w:after="240"/>
      <w:ind w:hanging="720" w:start="3600" w:end="0"/>
    </w:pPr>
    <w:rPr/>
  </w:style>
  <w:style w:type="paragraph" w:styleId="EnvelopeAddress">
    <w:name w:val="envelope address"/>
    <w:basedOn w:val="Normal"/>
    <w:pPr>
      <w:ind w:hanging="0" w:start="2880" w:end="0"/>
    </w:pPr>
    <w:rPr>
      <w:rFonts w:ascii="Arial" w:hAnsi="Arial" w:cs="Arial"/>
    </w:rPr>
  </w:style>
  <w:style w:type="paragraph" w:styleId="PlainText">
    <w:name w:val="Plain Text"/>
    <w:basedOn w:val="Normal"/>
    <w:qFormat/>
    <w:pPr>
      <w:spacing w:before="0" w:after="240"/>
    </w:pPr>
    <w:rPr/>
  </w:style>
  <w:style w:type="paragraph" w:styleId="Signature">
    <w:name w:val="Signature"/>
    <w:basedOn w:val="Normal"/>
    <w:pPr>
      <w:spacing w:before="0" w:after="240"/>
      <w:ind w:hanging="0" w:start="4320" w:end="0"/>
    </w:pPr>
    <w:rPr/>
  </w:style>
  <w:style w:type="paragraph" w:styleId="Subtitle">
    <w:name w:val="Subtitle"/>
    <w:basedOn w:val="Normal"/>
    <w:next w:val="BodyText"/>
    <w:qFormat/>
    <w:pPr>
      <w:spacing w:before="0" w:after="240"/>
      <w:jc w:val="center"/>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spacing w:before="0" w:after="360"/>
    </w:pPr>
    <w:rPr>
      <w:b/>
    </w:rPr>
  </w:style>
  <w:style w:type="paragraph" w:styleId="Memohead">
    <w:name w:val="Memohead"/>
    <w:qFormat/>
    <w:pPr>
      <w:widowControl w:val="false"/>
      <w:bidi w:val="0"/>
      <w:spacing w:before="0" w:after="240"/>
    </w:pPr>
    <w:rPr>
      <w:rFonts w:ascii="Times New Roman" w:hAnsi="Times New Roman" w:eastAsia="Times New Roman" w:cs="Times New Roman"/>
      <w:b/>
      <w:color w:val="auto"/>
      <w:sz w:val="20"/>
      <w:szCs w:val="20"/>
      <w:lang w:val="en-US" w:eastAsia="en-US"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DocX97Comment">
    <w:name w:val="DocX97Comment"/>
    <w:basedOn w:val="Normal"/>
    <w:qFormat/>
    <w:pPr/>
    <w:rPr>
      <w:b/>
      <w:i/>
      <w:color w:val="FF0000"/>
      <w:sz w:val="16"/>
    </w:rPr>
  </w:style>
  <w:style w:type="paragraph" w:styleId="ListBullet">
    <w:name w:val="List Bullet"/>
    <w:basedOn w:val="Normal"/>
    <w:qFormat/>
    <w:pPr>
      <w:numPr>
        <w:ilvl w:val="0"/>
        <w:numId w:val="16"/>
      </w:numPr>
      <w:spacing w:before="0" w:after="240"/>
      <w:ind w:hanging="720" w:start="720" w:end="0"/>
    </w:pPr>
    <w:rPr/>
  </w:style>
  <w:style w:type="paragraph" w:styleId="CommentText">
    <w:name w:val="Comment Text"/>
    <w:basedOn w:val="Normal"/>
    <w:qFormat/>
    <w:pPr/>
    <w:rPr>
      <w:sz w:val="20"/>
    </w:rPr>
  </w:style>
  <w:style w:type="paragraph" w:styleId="BodyTextContinued">
    <w:name w:val="Body Text Continued"/>
    <w:basedOn w:val="BodyText"/>
    <w:next w:val="BodyText"/>
    <w:qFormat/>
    <w:pPr>
      <w:ind w:hanging="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rPr/>
  </w:style>
  <w:style w:type="paragraph" w:styleId="TabbedL1">
    <w:name w:val="Tabbed_L1"/>
    <w:basedOn w:val="Normal"/>
    <w:next w:val="NumContinue"/>
    <w:qFormat/>
    <w:pPr>
      <w:spacing w:before="0" w:after="240"/>
      <w:ind w:firstLine="1440" w:start="0" w:end="0"/>
    </w:pPr>
    <w:rPr/>
  </w:style>
  <w:style w:type="paragraph" w:styleId="TabbedL2">
    <w:name w:val="Tabbed_L2"/>
    <w:basedOn w:val="TabbedL1"/>
    <w:next w:val="NumContinue"/>
    <w:qFormat/>
    <w:pPr>
      <w:tabs>
        <w:tab w:val="clear" w:pos="720"/>
        <w:tab w:val="left" w:pos="2160" w:leader="none"/>
        <w:tab w:val="left" w:pos="2520" w:leader="none"/>
      </w:tabs>
      <w:ind w:firstLine="1440" w:start="720" w:end="0"/>
    </w:pPr>
    <w:rPr/>
  </w:style>
  <w:style w:type="paragraph" w:styleId="TabbedL3">
    <w:name w:val="Tabbed_L3"/>
    <w:basedOn w:val="TabbedL2"/>
    <w:next w:val="NumContinue"/>
    <w:qFormat/>
    <w:pPr>
      <w:tabs>
        <w:tab w:val="clear" w:pos="2160"/>
        <w:tab w:val="left" w:pos="2520" w:leader="none"/>
      </w:tabs>
      <w:ind w:firstLine="2160" w:start="720" w:end="0"/>
    </w:pPr>
    <w:rPr/>
  </w:style>
  <w:style w:type="paragraph" w:styleId="TabbedL4">
    <w:name w:val="Tabbed_L4"/>
    <w:basedOn w:val="TabbedL3"/>
    <w:next w:val="NumContinue"/>
    <w:qFormat/>
    <w:pPr>
      <w:tabs>
        <w:tab w:val="left" w:pos="2520" w:leader="none"/>
        <w:tab w:val="left" w:pos="3240" w:leader="none"/>
        <w:tab w:val="left" w:pos="3600" w:leader="none"/>
      </w:tabs>
      <w:ind w:firstLine="2880" w:start="0" w:end="0"/>
    </w:pPr>
    <w:rPr/>
  </w:style>
  <w:style w:type="paragraph" w:styleId="TabbedL5">
    <w:name w:val="Tabbed_L5"/>
    <w:basedOn w:val="TabbedL4"/>
    <w:next w:val="NumContinue"/>
    <w:qFormat/>
    <w:pPr>
      <w:tabs>
        <w:tab w:val="clear" w:pos="3600"/>
        <w:tab w:val="left" w:pos="2520" w:leader="none"/>
        <w:tab w:val="left" w:pos="3240" w:leader="none"/>
        <w:tab w:val="left" w:pos="3960" w:leader="none"/>
        <w:tab w:val="left" w:pos="4320" w:leader="none"/>
      </w:tabs>
      <w:ind w:firstLine="3600" w:start="0" w:end="0"/>
    </w:pPr>
    <w:rPr/>
  </w:style>
  <w:style w:type="paragraph" w:styleId="TabbedL6">
    <w:name w:val="Tabbed_L6"/>
    <w:basedOn w:val="TabbedL5"/>
    <w:next w:val="NumContinue"/>
    <w:qFormat/>
    <w:pPr>
      <w:tabs>
        <w:tab w:val="clear" w:pos="4320"/>
        <w:tab w:val="left" w:pos="2520" w:leader="none"/>
        <w:tab w:val="left" w:pos="3240" w:leader="none"/>
        <w:tab w:val="left" w:pos="3960" w:leader="none"/>
        <w:tab w:val="left" w:pos="5040" w:leader="none"/>
      </w:tabs>
      <w:ind w:firstLine="4320" w:start="0" w:end="0"/>
    </w:pPr>
    <w:rPr/>
  </w:style>
  <w:style w:type="paragraph" w:styleId="TabbedL7">
    <w:name w:val="Tabbed_L7"/>
    <w:basedOn w:val="TabbedL6"/>
    <w:next w:val="NumContinue"/>
    <w:qFormat/>
    <w:pPr>
      <w:tabs>
        <w:tab w:val="left" w:pos="2520" w:leader="none"/>
        <w:tab w:val="left" w:pos="3240" w:leader="none"/>
        <w:tab w:val="left" w:pos="3960" w:leader="none"/>
        <w:tab w:val="left" w:pos="5040" w:leader="none"/>
        <w:tab w:val="left" w:pos="5400" w:leader="none"/>
        <w:tab w:val="left" w:pos="5760" w:leader="none"/>
      </w:tabs>
      <w:ind w:firstLine="5040" w:start="0" w:end="0"/>
    </w:pPr>
    <w:rPr/>
  </w:style>
  <w:style w:type="paragraph" w:styleId="TabbedL8">
    <w:name w:val="Tabbed_L8"/>
    <w:basedOn w:val="TabbedL7"/>
    <w:next w:val="NumContinue"/>
    <w:qFormat/>
    <w:pPr>
      <w:tabs>
        <w:tab w:val="clear" w:pos="5760"/>
        <w:tab w:val="left" w:pos="2520" w:leader="none"/>
        <w:tab w:val="left" w:pos="3240" w:leader="none"/>
        <w:tab w:val="left" w:pos="3960" w:leader="none"/>
        <w:tab w:val="left" w:pos="5040" w:leader="none"/>
        <w:tab w:val="left" w:pos="5400" w:leader="none"/>
        <w:tab w:val="left" w:pos="6120" w:leader="none"/>
        <w:tab w:val="left" w:pos="6480" w:leader="none"/>
      </w:tabs>
      <w:ind w:firstLine="5760" w:start="0" w:end="0"/>
    </w:pPr>
    <w:rPr/>
  </w:style>
  <w:style w:type="paragraph" w:styleId="TabbedL9">
    <w:name w:val="Tabbed_L9"/>
    <w:basedOn w:val="TabbedL8"/>
    <w:next w:val="NumContinue"/>
    <w:qFormat/>
    <w:pPr>
      <w:tabs>
        <w:tab w:val="clear" w:pos="6480"/>
        <w:tab w:val="left" w:pos="2520" w:leader="none"/>
        <w:tab w:val="left" w:pos="3240" w:leader="none"/>
        <w:tab w:val="left" w:pos="3960" w:leader="none"/>
        <w:tab w:val="left" w:pos="5040" w:leader="none"/>
        <w:tab w:val="left" w:pos="5400" w:leader="none"/>
        <w:tab w:val="left" w:pos="6120" w:leader="none"/>
        <w:tab w:val="left" w:pos="7200" w:leader="none"/>
      </w:tabs>
      <w:ind w:firstLine="648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 w:type="numbering" w:styleId="WW8StyleNum13">
    <w:name w:val="WW8StyleNum13"/>
    <w:qFormat/>
  </w:style>
  <w:style w:type="numbering" w:styleId="WW8StyleNum14">
    <w:name w:val="WW8Style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2000-03-08T18:06:00Z</dcterms:created>
  <dc:creator>chuck</dc:creator>
  <dc:description/>
  <cp:keywords>DocsOpen Name: #883360 v1 - DB - Pledge Agmt</cp:keywords>
  <dc:language>en-CA</dc:language>
  <cp:lastModifiedBy>Vinson &amp; Elkins L.L.P.</cp:lastModifiedBy>
  <cp:lastPrinted>2000-03-08T14:36:00Z</cp:lastPrinted>
  <dcterms:modified xsi:type="dcterms:W3CDTF">2000-03-08T18:06:00Z</dcterms:modified>
  <cp:revision>2</cp:revision>
  <dc:subject>DocsOpen Loc:G:\DATA\NY2\HOLLISS\AGR\$XLS01!.DOC</dc:subject>
  <dc:title>Local: Q:\DATA\WIP\_GECCMC\8FPLEDG0.DOC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NY2:\883360\01\$XLS01!.DOC\41286.0004</vt:lpwstr>
  </property>
</Properties>
</file>