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Normal"/>
        <w:jc w:val="center"/>
        <w:rPr>
          <w:b/>
          <w:sz w:val="32"/>
        </w:rPr>
      </w:pPr>
      <w:r>
        <w:rPr>
          <w:b/>
          <w:sz w:val="32"/>
        </w:rPr>
        <w:t xml:space="preserve"> </w:t>
      </w:r>
      <w:r>
        <w:rPr>
          <w:b/>
          <w:sz w:val="32"/>
        </w:rPr>
        <w:t>DEAL APPROVAL SHEET</w:t>
      </w:r>
    </w:p>
    <w:p>
      <w:pPr>
        <w:pStyle w:val="Header"/>
        <w:widowControl/>
        <w:tabs>
          <w:tab w:val="clear" w:pos="4320"/>
          <w:tab w:val="clear" w:pos="8640"/>
        </w:tabs>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rPr>
            </w:pPr>
            <w:r>
              <w:rPr>
                <w:b/>
              </w:rPr>
              <w:t>DEAL NAME:  Maine SOS</w:t>
            </w:r>
          </w:p>
          <w:p>
            <w:pPr>
              <w:pStyle w:val="Normal"/>
              <w:ind w:end="792"/>
              <w:rPr/>
            </w:pPr>
            <w:r>
              <w:rPr/>
              <w:t>Counterparty:  Central Maine Power Company</w:t>
            </w:r>
          </w:p>
          <w:p>
            <w:pPr>
              <w:pStyle w:val="Normal"/>
              <w:rPr/>
            </w:pPr>
            <w:r>
              <w:rPr/>
              <w:t>Business Unit:  Enron Power Marketing</w:t>
            </w:r>
          </w:p>
          <w:p>
            <w:pPr>
              <w:pStyle w:val="Normal"/>
              <w:rPr/>
            </w:pPr>
            <w:r>
              <w:rPr/>
              <w:t>Business Unit Originator:  Jeff Ader/John Llodra/George Wood</w:t>
            </w:r>
          </w:p>
          <w:p>
            <w:pPr>
              <w:pStyle w:val="Normal"/>
              <w:tabs>
                <w:tab w:val="clear" w:pos="720"/>
                <w:tab w:val="left" w:pos="1530" w:leader="none"/>
              </w:tabs>
              <w:rPr/>
            </w:pPr>
            <w:r>
              <w:rPr/>
              <w:t></w:t>
            </w:r>
            <w:r>
              <w:rPr/>
              <w:t>Public</w:t>
              <w:tab/>
              <w:t>XPrivate</w:t>
            </w:r>
          </w:p>
          <w:p>
            <w:pPr>
              <w:pStyle w:val="Normal"/>
              <w:tabs>
                <w:tab w:val="clear" w:pos="720"/>
                <w:tab w:val="left" w:pos="1530" w:leader="none"/>
              </w:tabs>
              <w:ind w:end="-738"/>
              <w:rPr/>
            </w:pPr>
            <w:r>
              <w:rPr/>
              <w:t>XMerchant</w:t>
              <w:tab/>
              <w:t>XStrategic</w:t>
            </w:r>
          </w:p>
          <w:p>
            <w:pPr>
              <w:pStyle w:val="Header"/>
              <w:tabs>
                <w:tab w:val="left" w:pos="1530" w:leader="none"/>
                <w:tab w:val="center" w:pos="4320" w:leader="none"/>
                <w:tab w:val="right" w:pos="8640" w:leader="none"/>
              </w:tabs>
              <w:rPr/>
            </w:pPr>
            <w:r>
              <w:rPr/>
              <w:t>XConforming</w:t>
              <w:tab/>
              <w:t>Nonconforming</w:t>
            </w:r>
          </w:p>
        </w:tc>
        <w:tc>
          <w:tcPr>
            <w:tcW w:w="4950" w:type="dxa"/>
            <w:tcBorders>
              <w:top w:val="single" w:sz="8" w:space="0" w:color="000000"/>
              <w:bottom w:val="single" w:sz="8" w:space="0" w:color="000000"/>
            </w:tcBorders>
          </w:tcPr>
          <w:p>
            <w:pPr>
              <w:pStyle w:val="Normal"/>
              <w:ind w:firstLine="90" w:start="-198" w:end="-738"/>
              <w:rPr/>
            </w:pPr>
            <w:r>
              <w:rPr/>
              <w:t xml:space="preserve">Date DASH Completed:  </w:t>
            </w:r>
          </w:p>
          <w:p>
            <w:pPr>
              <w:pStyle w:val="Normal"/>
              <w:ind w:firstLine="90" w:start="-198" w:end="-1095"/>
              <w:rPr/>
            </w:pPr>
            <w:r>
              <w:rPr/>
              <w:t>RAC Analyst:  L. Davenport/ F. Hayden</w:t>
            </w:r>
          </w:p>
          <w:p>
            <w:pPr>
              <w:pStyle w:val="Normal"/>
              <w:ind w:firstLine="90" w:start="-198" w:end="-738"/>
              <w:rPr/>
            </w:pPr>
            <w:r>
              <w:rPr/>
              <w:t xml:space="preserve">Investment Type:  </w:t>
            </w:r>
          </w:p>
          <w:p>
            <w:pPr>
              <w:pStyle w:val="Normal"/>
              <w:ind w:firstLine="90" w:start="-198" w:end="-738"/>
              <w:rPr/>
            </w:pPr>
            <w:r>
              <w:rPr/>
              <w:t>Capital Funding Source(s):  Balance Sheet</w:t>
            </w:r>
          </w:p>
          <w:p>
            <w:pPr>
              <w:pStyle w:val="Normal"/>
              <w:ind w:firstLine="90" w:start="-198" w:end="-738"/>
              <w:rPr/>
            </w:pPr>
            <w:r>
              <w:rPr/>
              <w:t>Expected Closing Date:  01/31/01</w:t>
            </w:r>
          </w:p>
          <w:p>
            <w:pPr>
              <w:pStyle w:val="Normal"/>
              <w:ind w:firstLine="90" w:start="-198" w:end="-738"/>
              <w:rPr/>
            </w:pPr>
            <w:r>
              <w:rPr/>
              <w:t>Expected Funding Date:  N/A</w:t>
            </w:r>
          </w:p>
          <w:p>
            <w:pPr>
              <w:pStyle w:val="Normal"/>
              <w:ind w:firstLine="90" w:start="-198" w:end="-738"/>
              <w:rPr/>
            </w:pPr>
            <w:r>
              <w:rPr/>
              <w:t>Board Approval: Pending  Received  Denied  XN/A</w:t>
            </w:r>
          </w:p>
        </w:tc>
      </w:tr>
    </w:tbl>
    <w:p>
      <w:pPr>
        <w:pStyle w:val="Normal"/>
        <w:rPr/>
      </w:pPr>
      <w:r>
        <w:rPr/>
        <w:t>RAC Recommendation: XProceed with Transaction    Returns below Capital Price   Do not Proceed</w:t>
      </w:r>
    </w:p>
    <w:p>
      <w:pPr>
        <w:pStyle w:val="Heading4"/>
        <w:pBdr>
          <w:top w:val="single" w:sz="8" w:space="1" w:color="000000"/>
        </w:pBdr>
        <w:tabs>
          <w:tab w:val="clear" w:pos="9990"/>
          <w:tab w:val="left" w:pos="10260" w:leader="none"/>
        </w:tabs>
        <w:rPr/>
      </w:pPr>
      <w:r>
        <w:rPr/>
        <w:t>APPROVAL AMOUNT REQUESTED</w:t>
      </w:r>
    </w:p>
    <w:p>
      <w:pPr>
        <w:pStyle w:val="Normal"/>
        <w:ind w:start="360" w:end="-36"/>
        <w:rPr/>
      </w:pPr>
      <w:r>
        <w:rPr/>
        <w:t>Capital Commitment</w:t>
        <w:tab/>
        <w:tab/>
        <w:t>NA</w:t>
      </w:r>
    </w:p>
    <w:p>
      <w:pPr>
        <w:pStyle w:val="Normal"/>
        <w:ind w:start="360" w:end="-306"/>
        <w:rPr/>
      </w:pPr>
      <w:r>
        <w:rPr/>
        <w:t>Bid Bond Amount</w:t>
        <w:tab/>
        <w:tab/>
        <w:t>NA</w:t>
      </w:r>
    </w:p>
    <w:p>
      <w:pPr>
        <w:pStyle w:val="Normal"/>
        <w:rPr/>
      </w:pPr>
      <w:r>
        <w:rPr/>
      </w:r>
    </w:p>
    <w:p>
      <w:pPr>
        <w:pStyle w:val="Normal"/>
        <w:rPr/>
      </w:pPr>
      <w:r>
        <w:rPr/>
      </w:r>
    </w:p>
    <w:p>
      <w:pPr>
        <w:pStyle w:val="Heading1"/>
        <w:pBdr>
          <w:top w:val="single" w:sz="8" w:space="1" w:color="000000"/>
        </w:pBdr>
        <w:ind w:hanging="0" w:start="0" w:end="-36"/>
        <w:rPr/>
      </w:pPr>
      <w:r>
        <w:rPr/>
        <w:t>EXPOSURE SUMMARY</w:t>
      </w:r>
    </w:p>
    <w:p>
      <w:pPr>
        <w:pStyle w:val="Normal"/>
        <w:ind w:start="360" w:end="0"/>
        <w:rPr/>
      </w:pPr>
      <w:r>
        <w:rPr/>
        <w:t>Market Risk</w:t>
        <w:tab/>
        <w:tab/>
        <w:t>$22.1 MM – 40 day liquidation  ($3.5 million in overnight VAR)</w:t>
      </w:r>
    </w:p>
    <w:p>
      <w:pPr>
        <w:pStyle w:val="Normal"/>
        <w:ind w:start="360" w:end="0"/>
        <w:rPr>
          <w:u w:val="single"/>
        </w:rPr>
      </w:pPr>
      <w:r>
        <w:rPr/>
        <w:t>Credit Risk</w:t>
        <w:tab/>
        <w:tab/>
      </w:r>
      <w:r>
        <w:rPr>
          <w:u w:val="single"/>
        </w:rPr>
        <w:t xml:space="preserve">$  2.0 MM – </w:t>
      </w:r>
      <w:r>
        <w:rPr>
          <w:highlight w:val="yellow"/>
          <w:u w:val="single"/>
        </w:rPr>
        <w:t>(still being reviewed by Credit)</w:t>
      </w:r>
    </w:p>
    <w:p>
      <w:pPr>
        <w:pStyle w:val="Normal"/>
        <w:ind w:start="360" w:end="0"/>
        <w:rPr>
          <w:color w:val="FF0000"/>
        </w:rPr>
      </w:pPr>
      <w:r>
        <w:rPr/>
        <w:t>Total</w:t>
        <w:tab/>
        <w:tab/>
        <w:t>$24.1 MM</w:t>
      </w:r>
    </w:p>
    <w:p>
      <w:pPr>
        <w:pStyle w:val="Normal"/>
        <w:ind w:end="-36"/>
        <w:rPr>
          <w:color w:val="FF0000"/>
        </w:rPr>
      </w:pPr>
      <w:r>
        <w:rPr>
          <w:color w:val="FF0000"/>
        </w:rPr>
      </w:r>
    </w:p>
    <w:p>
      <w:pPr>
        <w:pStyle w:val="Normal"/>
        <w:ind w:end="-36"/>
        <w:rPr/>
      </w:pPr>
      <w:r>
        <w:rPr/>
      </w:r>
    </w:p>
    <w:p>
      <w:pPr>
        <w:pStyle w:val="Heading2"/>
        <w:widowControl/>
        <w:pBdr>
          <w:top w:val="single" w:sz="8" w:space="1" w:color="000000"/>
        </w:pBdr>
        <w:ind w:hanging="0" w:start="0" w:end="-36"/>
        <w:rPr>
          <w:i w:val="false"/>
          <w:i w:val="false"/>
        </w:rPr>
      </w:pPr>
      <w:r>
        <w:rPr>
          <w:i w:val="false"/>
        </w:rPr>
        <w:t xml:space="preserve">DEAL DESCRIPTION </w:t>
      </w:r>
    </w:p>
    <w:p>
      <w:pPr>
        <w:pStyle w:val="Normal"/>
        <w:rPr>
          <w:i/>
          <w:i/>
        </w:rPr>
      </w:pPr>
      <w:r>
        <w:rPr>
          <w:i/>
        </w:rPr>
      </w:r>
    </w:p>
    <w:p>
      <w:pPr>
        <w:pStyle w:val="Heading8"/>
        <w:rPr/>
      </w:pPr>
      <w:r>
        <w:rPr/>
        <w:t>Region:</w:t>
        <w:tab/>
      </w:r>
      <w:r>
        <w:rPr>
          <w:b w:val="false"/>
        </w:rPr>
        <w:t>NEPOOL</w:t>
      </w:r>
    </w:p>
    <w:p>
      <w:pPr>
        <w:pStyle w:val="Normal"/>
        <w:ind w:hanging="3690" w:start="3690" w:end="0"/>
        <w:rPr>
          <w:b/>
        </w:rPr>
      </w:pPr>
      <w:r>
        <w:rPr>
          <w:b/>
        </w:rPr>
      </w:r>
    </w:p>
    <w:p>
      <w:pPr>
        <w:pStyle w:val="Normal"/>
        <w:rPr>
          <w:b/>
        </w:rPr>
      </w:pPr>
      <w:r>
        <w:rPr>
          <w:b/>
        </w:rPr>
        <w:t>Notable Regional Restructuring/Regulatory Issues:</w:t>
      </w:r>
    </w:p>
    <w:p>
      <w:pPr>
        <w:pStyle w:val="Normal"/>
        <w:numPr>
          <w:ilvl w:val="0"/>
          <w:numId w:val="7"/>
        </w:numPr>
        <w:jc w:val="both"/>
        <w:rPr>
          <w:b/>
        </w:rPr>
      </w:pPr>
      <w:r>
        <w:rPr/>
        <w:t>Price Caps – FERC has currently approved a $1,000/MWH price cap for NEPOOL, consistent with PJM and NYPP.  This has been extended once but is now due to expire 3/1/01.  NEPOOL will likely seek another extension of this cap.</w:t>
      </w:r>
    </w:p>
    <w:p>
      <w:pPr>
        <w:pStyle w:val="Normal"/>
        <w:numPr>
          <w:ilvl w:val="0"/>
          <w:numId w:val="7"/>
        </w:numPr>
        <w:jc w:val="both"/>
        <w:rPr>
          <w:b/>
        </w:rPr>
      </w:pPr>
      <w:r>
        <w:rPr/>
        <w:t>Locational clearing price system – Locational pricing is currently targeted for implementation in NEPOOL sometime during Q2, 2002.  System will be very similar to that in place in PJM and NY.</w:t>
      </w:r>
    </w:p>
    <w:p>
      <w:pPr>
        <w:pStyle w:val="Normal"/>
        <w:numPr>
          <w:ilvl w:val="0"/>
          <w:numId w:val="7"/>
        </w:numPr>
        <w:jc w:val="both"/>
        <w:rPr>
          <w:b/>
        </w:rPr>
      </w:pPr>
      <w:r>
        <w:rPr/>
        <w:t>Installed Capacity (“ICAP”) deficiency rate pending FERC order.</w:t>
      </w:r>
    </w:p>
    <w:p>
      <w:pPr>
        <w:pStyle w:val="Normal"/>
        <w:jc w:val="both"/>
        <w:rPr>
          <w:b/>
        </w:rPr>
      </w:pPr>
      <w:r>
        <w:rPr>
          <w:b/>
        </w:rPr>
        <w:t xml:space="preserve"> </w:t>
      </w:r>
    </w:p>
    <w:p>
      <w:pPr>
        <w:pStyle w:val="Normal"/>
        <w:ind w:hanging="3690" w:start="3690" w:end="0"/>
        <w:rPr>
          <w:b/>
        </w:rPr>
      </w:pPr>
      <w:r>
        <w:rPr>
          <w:b/>
        </w:rPr>
        <w:t>Deal Type:</w:t>
      </w:r>
    </w:p>
    <w:p>
      <w:pPr>
        <w:pStyle w:val="Normal"/>
        <w:jc w:val="both"/>
        <w:rPr/>
      </w:pPr>
      <w:r>
        <w:rPr/>
        <w:t>Standard Offer</w:t>
      </w:r>
      <w:r>
        <w:rPr>
          <w:b/>
        </w:rPr>
        <w:t xml:space="preserve"> </w:t>
      </w:r>
      <w:r>
        <w:rPr/>
        <w:t>Service (“SOS”) for medium non-residential customer class.  This customer class is predominantly comprised of commercial accounts with peak demand between 20 kW and 400 kW.  Responsibilities include the following:</w:t>
      </w:r>
    </w:p>
    <w:p>
      <w:pPr>
        <w:pStyle w:val="Normal"/>
        <w:numPr>
          <w:ilvl w:val="0"/>
          <w:numId w:val="10"/>
        </w:numPr>
        <w:tabs>
          <w:tab w:val="clear" w:pos="720"/>
        </w:tabs>
        <w:ind w:hanging="360" w:start="360" w:end="0"/>
        <w:jc w:val="both"/>
        <w:rPr/>
      </w:pPr>
      <w:r>
        <w:rPr/>
        <w:t>All requirements energy for one year</w:t>
      </w:r>
    </w:p>
    <w:p>
      <w:pPr>
        <w:pStyle w:val="Normal"/>
        <w:numPr>
          <w:ilvl w:val="0"/>
          <w:numId w:val="10"/>
        </w:numPr>
        <w:tabs>
          <w:tab w:val="clear" w:pos="720"/>
        </w:tabs>
        <w:ind w:hanging="360" w:start="360" w:end="0"/>
        <w:jc w:val="both"/>
        <w:rPr>
          <w:b/>
        </w:rPr>
      </w:pPr>
      <w:r>
        <w:rPr/>
        <w:t>Green renewable requirements for one year (30% renewable energy portfolio requirement).</w:t>
      </w:r>
    </w:p>
    <w:p>
      <w:pPr>
        <w:pStyle w:val="Normal"/>
        <w:numPr>
          <w:ilvl w:val="0"/>
          <w:numId w:val="10"/>
        </w:numPr>
        <w:tabs>
          <w:tab w:val="clear" w:pos="720"/>
        </w:tabs>
        <w:ind w:hanging="360" w:start="360" w:end="0"/>
        <w:jc w:val="both"/>
        <w:rPr/>
      </w:pPr>
      <w:r>
        <w:rPr/>
        <w:t>All requirements Installed Capability (ICAP) for one year</w:t>
      </w:r>
    </w:p>
    <w:p>
      <w:pPr>
        <w:pStyle w:val="Normal"/>
        <w:numPr>
          <w:ilvl w:val="0"/>
          <w:numId w:val="10"/>
        </w:numPr>
        <w:tabs>
          <w:tab w:val="clear" w:pos="720"/>
        </w:tabs>
        <w:ind w:hanging="360" w:start="360" w:end="0"/>
        <w:jc w:val="both"/>
        <w:rPr/>
      </w:pPr>
      <w:r>
        <w:rPr/>
        <w:t xml:space="preserve">Enron option to unilaterally extend all requirements energy &amp; green renewable requirement for up to three additional SOS years (beginning Mar and ending Feb), with notice provided beginning of November (i.e., 4 months prior to start of extension SOS year).  Price applicable for each Extension Term will be known at time of option exercise (based on gas index-based pricing formula).  </w:t>
      </w:r>
      <w:r>
        <w:rPr>
          <w:u w:val="single"/>
        </w:rPr>
        <w:t>This option is comprised of both a compound put option and a compound spread option</w:t>
      </w:r>
      <w:r>
        <w:rPr/>
        <w:t>.</w:t>
      </w:r>
    </w:p>
    <w:p>
      <w:pPr>
        <w:pStyle w:val="Normal"/>
        <w:numPr>
          <w:ilvl w:val="0"/>
          <w:numId w:val="10"/>
        </w:numPr>
        <w:tabs>
          <w:tab w:val="clear" w:pos="720"/>
        </w:tabs>
        <w:ind w:hanging="360" w:start="360" w:end="0"/>
        <w:jc w:val="both"/>
        <w:rPr/>
      </w:pPr>
      <w:r>
        <w:rPr/>
        <w:t>Enron will pass through at cost all ancillary services, energy uplift costs, ISO-NE expenses, black start/Var service, or any new products/obligations that may be introduced within NEPOOL.</w:t>
      </w:r>
    </w:p>
    <w:p>
      <w:pPr>
        <w:pStyle w:val="Normal"/>
        <w:numPr>
          <w:ilvl w:val="0"/>
          <w:numId w:val="10"/>
        </w:numPr>
        <w:tabs>
          <w:tab w:val="clear" w:pos="720"/>
        </w:tabs>
        <w:ind w:hanging="360" w:start="360" w:end="0"/>
        <w:jc w:val="both"/>
        <w:rPr/>
      </w:pPr>
      <w:r>
        <w:rPr/>
        <w:t>Customers will remain CMP retail customers, and CMP will bear all delivery risk from the Delivery Point to the meter.  Moreover, CMP will bear risk of uncollectable accounts and have the obligation for billing and metering.</w:t>
      </w:r>
    </w:p>
    <w:p>
      <w:pPr>
        <w:pStyle w:val="Normal"/>
        <w:rPr>
          <w:b/>
        </w:rPr>
      </w:pPr>
      <w:r>
        <w:rPr>
          <w:b/>
        </w:rPr>
      </w:r>
    </w:p>
    <w:p>
      <w:pPr>
        <w:pStyle w:val="Normal"/>
        <w:jc w:val="both"/>
        <w:rPr>
          <w:b/>
        </w:rPr>
      </w:pPr>
      <w:r>
        <w:rPr>
          <w:b/>
        </w:rPr>
        <w:t>Term:</w:t>
      </w:r>
    </w:p>
    <w:p>
      <w:pPr>
        <w:pStyle w:val="Normal"/>
        <w:jc w:val="both"/>
        <w:rPr>
          <w:b/>
        </w:rPr>
      </w:pPr>
      <w:r>
        <w:rPr/>
        <w:t xml:space="preserve">Enron is committed to serving the Base Term (defined below) at a fixed price, but has the option to extend for up to three Extension Terms (defined below).  The price for the Extension Terms is based on a gas  index, subject to annual caps and floors, to be calculated the beginning of November prior to the start of each Extension Term.   If Enron elects not to extend for any Extension Term, then it forfeits its rights to any subsequent Extension Terms </w:t>
      </w:r>
    </w:p>
    <w:p>
      <w:pPr>
        <w:pStyle w:val="Normal"/>
        <w:rPr>
          <w:b/>
        </w:rPr>
      </w:pPr>
      <w:r>
        <w:rPr>
          <w:b/>
        </w:rPr>
      </w:r>
    </w:p>
    <w:p>
      <w:pPr>
        <w:pStyle w:val="Normal"/>
        <w:ind w:firstLine="720" w:end="0"/>
        <w:rPr/>
      </w:pPr>
      <w:r>
        <w:rPr/>
        <w:t>Base Term:</w:t>
        <w:tab/>
        <w:tab/>
        <w:tab/>
        <w:t>- March 1, 2001 through February 28, 2002</w:t>
      </w:r>
    </w:p>
    <w:p>
      <w:pPr>
        <w:pStyle w:val="Normal"/>
        <w:ind w:firstLine="720" w:end="0"/>
        <w:rPr/>
      </w:pPr>
      <w:r>
        <w:rPr/>
        <w:t>Extension Terms:</w:t>
        <w:tab/>
        <w:tab/>
        <w:tab/>
        <w:t>- March 1, 2002 through February 28, 2003, exercisable on November 2, 2001</w:t>
      </w:r>
    </w:p>
    <w:p>
      <w:pPr>
        <w:pStyle w:val="Header"/>
        <w:widowControl/>
        <w:tabs>
          <w:tab w:val="clear" w:pos="4320"/>
          <w:tab w:val="clear" w:pos="8640"/>
        </w:tabs>
        <w:rPr/>
      </w:pPr>
      <w:r>
        <w:rPr/>
        <w:tab/>
        <w:tab/>
        <w:tab/>
        <w:tab/>
        <w:tab/>
        <w:t>- March 1, 2003 through February 29, 2004, exercisable on November 4, 2002</w:t>
      </w:r>
    </w:p>
    <w:p>
      <w:pPr>
        <w:pStyle w:val="Normal"/>
        <w:rPr/>
      </w:pPr>
      <w:r>
        <w:rPr/>
        <w:tab/>
        <w:tab/>
        <w:tab/>
        <w:tab/>
        <w:tab/>
        <w:t>- March 1, 2004 through February 28, 2005, exercisable on November 4, 2003</w:t>
      </w:r>
    </w:p>
    <w:p>
      <w:pPr>
        <w:pStyle w:val="Normal"/>
        <w:rPr/>
      </w:pPr>
      <w:r>
        <w:rPr/>
      </w:r>
    </w:p>
    <w:p>
      <w:pPr>
        <w:pStyle w:val="Heading1"/>
        <w:ind w:hanging="0" w:start="0"/>
        <w:rPr/>
      </w:pPr>
      <w:r>
        <w:rPr/>
        <w:t>Notional Quantity (MWh):</w:t>
      </w:r>
    </w:p>
    <w:p>
      <w:pPr>
        <w:pStyle w:val="Normal"/>
        <w:rPr/>
      </w:pPr>
      <w:r>
        <w:rPr/>
        <w:t xml:space="preserve">Short Position: </w:t>
        <w:tab/>
        <w:t xml:space="preserve">(1.7) MM [5x16 Peak (0.9) MM and Off Peak (0.8) MM] with 50% annual load factor. </w:t>
      </w:r>
    </w:p>
    <w:p>
      <w:pPr>
        <w:pStyle w:val="Normal"/>
        <w:jc w:val="both"/>
        <w:rPr/>
      </w:pPr>
      <w:r>
        <w:rPr/>
        <w:t>Volumes on which payment by CMP will be based will be determined by grossing up medium non-residential metered SOS load for:  (1) CMP transmission and distribution system losses; and (2) NEPOOL PTF transmission losses.   As the medium non-residential class is not interval-metered, hourly SOS load allocated to EPMI will be determined based on typical customer profiles (for similar weather and time of year conditions), with appropriate adjustments for actual customer billing cycle metered load.  Load profiling procedures are fundamentally similar to those employed by UI and NSTAR in our SOS deals with them, so EPMI has hands-on experience with these load allocation methods.</w:t>
      </w:r>
    </w:p>
    <w:p>
      <w:pPr>
        <w:pStyle w:val="Normal"/>
        <w:ind w:hanging="3600" w:start="3600" w:end="0"/>
        <w:rPr>
          <w:b/>
        </w:rPr>
      </w:pPr>
      <w:r>
        <w:rPr>
          <w:b/>
        </w:rPr>
      </w:r>
    </w:p>
    <w:p>
      <w:pPr>
        <w:pStyle w:val="Normal"/>
        <w:ind w:hanging="3600" w:start="3600" w:end="0"/>
        <w:rPr>
          <w:b/>
        </w:rPr>
      </w:pPr>
      <w:r>
        <w:rPr>
          <w:b/>
        </w:rPr>
        <w:t>Notional Quantity (MW):</w:t>
      </w:r>
    </w:p>
    <w:p>
      <w:pPr>
        <w:pStyle w:val="Normal"/>
        <w:ind w:hanging="3600" w:start="3600" w:end="0"/>
        <w:rPr/>
      </w:pPr>
      <w:r>
        <w:rPr/>
        <w:t>Average of 195 MW, estimated max/min of 380/85 MW</w:t>
      </w:r>
    </w:p>
    <w:p>
      <w:pPr>
        <w:pStyle w:val="Normal"/>
        <w:spacing w:lineRule="atLeast" w:line="240"/>
        <w:rPr/>
      </w:pPr>
      <w:r>
        <w:rPr/>
      </w:r>
    </w:p>
    <w:p>
      <w:pPr>
        <w:pStyle w:val="Normal"/>
        <w:spacing w:lineRule="atLeast" w:line="240"/>
        <w:rPr>
          <w:b/>
        </w:rPr>
      </w:pPr>
      <w:r>
        <w:rPr>
          <w:b/>
        </w:rPr>
        <w:t>Additional Detail on Transaction Quantity:</w:t>
      </w:r>
    </w:p>
    <w:p>
      <w:pPr>
        <w:pStyle w:val="Normal"/>
        <w:spacing w:lineRule="atLeast" w:line="240"/>
        <w:jc w:val="both"/>
        <w:rPr/>
      </w:pPr>
      <w:r>
        <w:rPr/>
        <w:t>The CMP medium non-residential SOS peak summer demand is estimated at 380 MW.  The projected load is based on 1999 historical data, has not been normalized for weather, assumes 0.00% load growth, and has been adjusted for a migration assumption of 15% of total medium non-residential load.</w:t>
      </w:r>
    </w:p>
    <w:p>
      <w:pPr>
        <w:pStyle w:val="Normal"/>
        <w:spacing w:lineRule="atLeast" w:line="240"/>
        <w:rPr/>
      </w:pPr>
      <w:r>
        <w:rPr/>
      </w:r>
    </w:p>
    <w:p>
      <w:pPr>
        <w:pStyle w:val="Normal"/>
        <w:jc w:val="both"/>
        <w:rPr>
          <w:b/>
        </w:rPr>
      </w:pPr>
      <w:r>
        <w:rPr>
          <w:b/>
        </w:rPr>
        <w:t>Pricing:</w:t>
      </w:r>
    </w:p>
    <w:p>
      <w:pPr>
        <w:pStyle w:val="Normal"/>
        <w:jc w:val="both"/>
        <w:rPr/>
      </w:pPr>
      <w:r>
        <w:rPr/>
        <w:t>Base Term:</w:t>
        <w:tab/>
        <w:t xml:space="preserve">$____________/MWh  (fixed price)   </w:t>
      </w:r>
      <w:r>
        <w:rPr>
          <w:highlight w:val="yellow"/>
        </w:rPr>
        <w:t>(still under negotiation)</w:t>
      </w:r>
    </w:p>
    <w:p>
      <w:pPr>
        <w:pStyle w:val="Normal"/>
        <w:spacing w:lineRule="atLeast" w:line="240"/>
        <w:ind w:hanging="2160" w:start="2160" w:end="0"/>
        <w:rPr/>
      </w:pPr>
      <w:r>
        <w:rPr/>
      </w:r>
    </w:p>
    <w:p>
      <w:pPr>
        <w:pStyle w:val="Normal"/>
        <w:spacing w:lineRule="atLeast" w:line="240"/>
        <w:ind w:hanging="2160" w:start="2160" w:end="0"/>
        <w:rPr/>
      </w:pPr>
      <w:r>
        <w:rPr/>
        <w:t>Extension Term:  An index-based price as follows:</w:t>
      </w:r>
    </w:p>
    <w:p>
      <w:pPr>
        <w:pStyle w:val="Normal"/>
        <w:spacing w:lineRule="atLeast" w:line="240"/>
        <w:ind w:start="1440" w:end="0"/>
        <w:rPr/>
      </w:pPr>
      <w:r>
        <w:rPr/>
        <w:t>Index Price = (Gas Index)(Heat Rate Adjustment Factor)(Load Shape Adjustment Factor), where:</w:t>
      </w:r>
    </w:p>
    <w:p>
      <w:pPr>
        <w:pStyle w:val="Normal"/>
        <w:ind w:start="1440" w:end="0"/>
        <w:jc w:val="both"/>
        <w:rPr/>
      </w:pPr>
      <w:r>
        <w:rPr/>
        <w:t>Gas Index = Average of the NYMEX Henry Hub Gas Futures prices for the 12 months beginning March and ending February of the relevant Extension Term, as published in Gas Daily, under the column labeled “High,” on the first Business Day of November immediately preceding the relevant Extension Term.</w:t>
      </w:r>
    </w:p>
    <w:p>
      <w:pPr>
        <w:pStyle w:val="Normal"/>
        <w:ind w:firstLine="720" w:start="720" w:end="0"/>
        <w:jc w:val="both"/>
        <w:rPr/>
      </w:pPr>
      <w:r>
        <w:rPr/>
        <w:t>Heat Rate Adjustment Factor = 10.400 mmBtu/MWh</w:t>
      </w:r>
    </w:p>
    <w:p>
      <w:pPr>
        <w:pStyle w:val="Normal"/>
        <w:ind w:firstLine="720" w:start="720" w:end="0"/>
        <w:jc w:val="both"/>
        <w:rPr/>
      </w:pPr>
      <w:r>
        <w:rPr/>
        <w:t>Load Shape Adjustment Factor = 1.25</w:t>
      </w:r>
    </w:p>
    <w:p>
      <w:pPr>
        <w:pStyle w:val="Normal"/>
        <w:spacing w:lineRule="atLeast" w:line="240"/>
        <w:rPr/>
      </w:pPr>
      <w:r>
        <w:rPr/>
        <w:tab/>
        <w:tab/>
        <w:t>Price Caps/Floors:</w:t>
      </w:r>
    </w:p>
    <w:tbl>
      <w:tblPr>
        <w:tblW w:w="6375" w:type="dxa"/>
        <w:jc w:val="center"/>
        <w:tblInd w:w="0" w:type="dxa"/>
        <w:tblLayout w:type="fixed"/>
        <w:tblCellMar>
          <w:top w:w="0" w:type="dxa"/>
          <w:start w:w="30" w:type="dxa"/>
          <w:bottom w:w="0" w:type="dxa"/>
          <w:end w:w="30" w:type="dxa"/>
        </w:tblCellMar>
      </w:tblPr>
      <w:tblGrid>
        <w:gridCol w:w="1005"/>
        <w:gridCol w:w="1005"/>
        <w:gridCol w:w="1005"/>
        <w:gridCol w:w="1005"/>
        <w:gridCol w:w="1178"/>
        <w:gridCol w:w="1177"/>
      </w:tblGrid>
      <w:tr>
        <w:trPr>
          <w:trHeight w:val="250" w:hRule="atLeast"/>
        </w:trPr>
        <w:tc>
          <w:tcPr>
            <w:tcW w:w="1005" w:type="dxa"/>
            <w:tcBorders>
              <w:top w:val="single" w:sz="6" w:space="0" w:color="000000"/>
              <w:start w:val="single" w:sz="6" w:space="0" w:color="000000"/>
            </w:tcBorders>
          </w:tcPr>
          <w:p>
            <w:pPr>
              <w:pStyle w:val="Normal"/>
              <w:snapToGrid w:val="false"/>
              <w:rPr>
                <w:color w:val="000000"/>
              </w:rPr>
            </w:pPr>
            <w:r>
              <w:rPr>
                <w:color w:val="000000"/>
              </w:rPr>
            </w:r>
          </w:p>
        </w:tc>
        <w:tc>
          <w:tcPr>
            <w:tcW w:w="1005" w:type="dxa"/>
            <w:tcBorders>
              <w:top w:val="single" w:sz="6" w:space="0" w:color="000000"/>
            </w:tcBorders>
          </w:tcPr>
          <w:p>
            <w:pPr>
              <w:pStyle w:val="Normal"/>
              <w:snapToGrid w:val="false"/>
              <w:rPr>
                <w:color w:val="000000"/>
              </w:rPr>
            </w:pPr>
            <w:r>
              <w:rPr>
                <w:color w:val="000000"/>
              </w:rPr>
            </w:r>
          </w:p>
        </w:tc>
        <w:tc>
          <w:tcPr>
            <w:tcW w:w="1005" w:type="dxa"/>
            <w:tcBorders>
              <w:top w:val="single" w:sz="6" w:space="0" w:color="000000"/>
            </w:tcBorders>
          </w:tcPr>
          <w:p>
            <w:pPr>
              <w:pStyle w:val="Normal"/>
              <w:snapToGrid w:val="false"/>
              <w:rPr>
                <w:color w:val="000000"/>
              </w:rPr>
            </w:pPr>
            <w:r>
              <w:rPr>
                <w:color w:val="000000"/>
              </w:rPr>
            </w:r>
          </w:p>
        </w:tc>
        <w:tc>
          <w:tcPr>
            <w:tcW w:w="1005" w:type="dxa"/>
            <w:tcBorders>
              <w:top w:val="single" w:sz="6" w:space="0" w:color="000000"/>
              <w:end w:val="single" w:sz="6" w:space="0" w:color="000000"/>
            </w:tcBorders>
          </w:tcPr>
          <w:p>
            <w:pPr>
              <w:pStyle w:val="Normal"/>
              <w:snapToGrid w:val="false"/>
              <w:rPr>
                <w:color w:val="000000"/>
              </w:rPr>
            </w:pPr>
            <w:r>
              <w:rPr>
                <w:color w:val="000000"/>
              </w:rPr>
            </w:r>
          </w:p>
        </w:tc>
        <w:tc>
          <w:tcPr>
            <w:tcW w:w="1178" w:type="dxa"/>
            <w:tcBorders>
              <w:top w:val="single" w:sz="6" w:space="0" w:color="000000"/>
              <w:start w:val="single" w:sz="6" w:space="0" w:color="000000"/>
            </w:tcBorders>
          </w:tcPr>
          <w:p>
            <w:pPr>
              <w:pStyle w:val="Normal"/>
              <w:jc w:val="center"/>
              <w:rPr>
                <w:color w:val="000000"/>
              </w:rPr>
            </w:pPr>
            <w:r>
              <w:rPr>
                <w:color w:val="000000"/>
              </w:rPr>
              <w:t>Price Cap</w:t>
            </w:r>
          </w:p>
        </w:tc>
        <w:tc>
          <w:tcPr>
            <w:tcW w:w="1177" w:type="dxa"/>
            <w:tcBorders>
              <w:top w:val="single" w:sz="6" w:space="0" w:color="000000"/>
              <w:end w:val="single" w:sz="6" w:space="0" w:color="000000"/>
            </w:tcBorders>
          </w:tcPr>
          <w:p>
            <w:pPr>
              <w:pStyle w:val="Normal"/>
              <w:jc w:val="center"/>
              <w:rPr>
                <w:color w:val="000000"/>
              </w:rPr>
            </w:pPr>
            <w:r>
              <w:rPr>
                <w:color w:val="000000"/>
              </w:rPr>
              <w:t>Price Floor</w:t>
            </w:r>
          </w:p>
        </w:tc>
      </w:tr>
      <w:tr>
        <w:trPr>
          <w:trHeight w:val="250" w:hRule="atLeast"/>
        </w:trPr>
        <w:tc>
          <w:tcPr>
            <w:tcW w:w="2010" w:type="dxa"/>
            <w:gridSpan w:val="2"/>
            <w:tcBorders>
              <w:start w:val="single" w:sz="6" w:space="0" w:color="000000"/>
              <w:bottom w:val="single" w:sz="6" w:space="0" w:color="000000"/>
            </w:tcBorders>
          </w:tcPr>
          <w:p>
            <w:pPr>
              <w:pStyle w:val="Heading6"/>
              <w:ind w:hanging="0" w:start="0"/>
              <w:rPr>
                <w:rFonts w:ascii="Times New Roman" w:hAnsi="Times New Roman" w:cs="Times New Roman"/>
              </w:rPr>
            </w:pPr>
            <w:r>
              <w:rPr>
                <w:rFonts w:cs="Times New Roman" w:ascii="Times New Roman" w:hAnsi="Times New Roman"/>
              </w:rPr>
              <w:t>Extension Term</w:t>
            </w:r>
          </w:p>
        </w:tc>
        <w:tc>
          <w:tcPr>
            <w:tcW w:w="1005" w:type="dxa"/>
            <w:tcBorders>
              <w:bottom w:val="single" w:sz="6" w:space="0" w:color="000000"/>
            </w:tcBorders>
          </w:tcPr>
          <w:p>
            <w:pPr>
              <w:pStyle w:val="Normal"/>
              <w:snapToGrid w:val="false"/>
              <w:rPr>
                <w:rFonts w:ascii="Times New Roman" w:hAnsi="Times New Roman" w:cs="Times New Roman"/>
                <w:color w:val="000000"/>
              </w:rPr>
            </w:pPr>
            <w:r>
              <w:rPr>
                <w:rFonts w:cs="Times New Roman"/>
                <w:color w:val="000000"/>
              </w:rPr>
            </w:r>
          </w:p>
        </w:tc>
        <w:tc>
          <w:tcPr>
            <w:tcW w:w="1005" w:type="dxa"/>
            <w:tcBorders>
              <w:bottom w:val="single" w:sz="6" w:space="0" w:color="000000"/>
              <w:end w:val="single" w:sz="6" w:space="0" w:color="000000"/>
            </w:tcBorders>
          </w:tcPr>
          <w:p>
            <w:pPr>
              <w:pStyle w:val="Normal"/>
              <w:snapToGrid w:val="false"/>
              <w:rPr>
                <w:color w:val="000000"/>
              </w:rPr>
            </w:pPr>
            <w:r>
              <w:rPr>
                <w:color w:val="000000"/>
              </w:rPr>
            </w:r>
          </w:p>
        </w:tc>
        <w:tc>
          <w:tcPr>
            <w:tcW w:w="1178" w:type="dxa"/>
            <w:tcBorders>
              <w:start w:val="single" w:sz="6" w:space="0" w:color="000000"/>
              <w:bottom w:val="single" w:sz="6" w:space="0" w:color="000000"/>
            </w:tcBorders>
          </w:tcPr>
          <w:p>
            <w:pPr>
              <w:pStyle w:val="Normal"/>
              <w:jc w:val="center"/>
              <w:rPr>
                <w:color w:val="000000"/>
              </w:rPr>
            </w:pPr>
            <w:r>
              <w:rPr>
                <w:color w:val="000000"/>
              </w:rPr>
              <w:t>($/MWh)</w:t>
            </w:r>
          </w:p>
        </w:tc>
        <w:tc>
          <w:tcPr>
            <w:tcW w:w="1177" w:type="dxa"/>
            <w:tcBorders>
              <w:bottom w:val="single" w:sz="6" w:space="0" w:color="000000"/>
              <w:end w:val="single" w:sz="6" w:space="0" w:color="000000"/>
            </w:tcBorders>
          </w:tcPr>
          <w:p>
            <w:pPr>
              <w:pStyle w:val="Normal"/>
              <w:jc w:val="center"/>
              <w:rPr>
                <w:color w:val="000000"/>
              </w:rPr>
            </w:pPr>
            <w:r>
              <w:rPr>
                <w:color w:val="000000"/>
              </w:rPr>
              <w:t>($/MWh)</w:t>
            </w:r>
          </w:p>
        </w:tc>
      </w:tr>
      <w:tr>
        <w:trPr>
          <w:trHeight w:val="250" w:hRule="atLeast"/>
        </w:trPr>
        <w:tc>
          <w:tcPr>
            <w:tcW w:w="4020" w:type="dxa"/>
            <w:gridSpan w:val="4"/>
            <w:tcBorders>
              <w:top w:val="single" w:sz="6" w:space="0" w:color="000000"/>
              <w:start w:val="single" w:sz="6" w:space="0" w:color="000000"/>
              <w:bottom w:val="single" w:sz="6" w:space="0" w:color="000000"/>
              <w:end w:val="single" w:sz="6" w:space="0" w:color="000000"/>
            </w:tcBorders>
          </w:tcPr>
          <w:p>
            <w:pPr>
              <w:pStyle w:val="Normal"/>
              <w:rPr>
                <w:color w:val="000000"/>
              </w:rPr>
            </w:pPr>
            <w:r>
              <w:rPr>
                <w:color w:val="000000"/>
              </w:rPr>
              <w:t>March 1, 2002 - February 28, 2003</w:t>
            </w:r>
          </w:p>
        </w:tc>
        <w:tc>
          <w:tcPr>
            <w:tcW w:w="1178" w:type="dxa"/>
            <w:tcBorders>
              <w:top w:val="single" w:sz="6" w:space="0" w:color="000000"/>
              <w:start w:val="single" w:sz="6" w:space="0" w:color="000000"/>
              <w:bottom w:val="single" w:sz="6" w:space="0" w:color="000000"/>
              <w:end w:val="single" w:sz="6" w:space="0" w:color="000000"/>
            </w:tcBorders>
          </w:tcPr>
          <w:p>
            <w:pPr>
              <w:pStyle w:val="Normal"/>
              <w:jc w:val="center"/>
              <w:rPr>
                <w:color w:val="000000"/>
              </w:rPr>
            </w:pPr>
            <w:r>
              <w:rPr>
                <w:color w:val="000000"/>
              </w:rPr>
              <w:t>69.00</w:t>
            </w:r>
          </w:p>
        </w:tc>
        <w:tc>
          <w:tcPr>
            <w:tcW w:w="1177" w:type="dxa"/>
            <w:tcBorders>
              <w:top w:val="single" w:sz="6" w:space="0" w:color="000000"/>
              <w:start w:val="single" w:sz="6" w:space="0" w:color="000000"/>
              <w:bottom w:val="single" w:sz="6" w:space="0" w:color="000000"/>
              <w:end w:val="single" w:sz="6" w:space="0" w:color="000000"/>
            </w:tcBorders>
          </w:tcPr>
          <w:p>
            <w:pPr>
              <w:pStyle w:val="Normal"/>
              <w:jc w:val="center"/>
              <w:rPr>
                <w:color w:val="000000"/>
              </w:rPr>
            </w:pPr>
            <w:r>
              <w:rPr>
                <w:color w:val="000000"/>
              </w:rPr>
              <w:t>63.00</w:t>
            </w:r>
          </w:p>
        </w:tc>
      </w:tr>
      <w:tr>
        <w:trPr>
          <w:trHeight w:val="250" w:hRule="atLeast"/>
        </w:trPr>
        <w:tc>
          <w:tcPr>
            <w:tcW w:w="4020" w:type="dxa"/>
            <w:gridSpan w:val="4"/>
            <w:tcBorders>
              <w:top w:val="single" w:sz="6" w:space="0" w:color="000000"/>
              <w:start w:val="single" w:sz="6" w:space="0" w:color="000000"/>
              <w:bottom w:val="single" w:sz="6" w:space="0" w:color="000000"/>
              <w:end w:val="single" w:sz="6" w:space="0" w:color="000000"/>
            </w:tcBorders>
          </w:tcPr>
          <w:p>
            <w:pPr>
              <w:pStyle w:val="Normal"/>
              <w:rPr>
                <w:color w:val="000000"/>
              </w:rPr>
            </w:pPr>
            <w:r>
              <w:rPr>
                <w:color w:val="000000"/>
              </w:rPr>
              <w:t>March 1, 2003 - February 29, 2004</w:t>
            </w:r>
          </w:p>
        </w:tc>
        <w:tc>
          <w:tcPr>
            <w:tcW w:w="1178" w:type="dxa"/>
            <w:tcBorders>
              <w:top w:val="single" w:sz="6" w:space="0" w:color="000000"/>
              <w:start w:val="single" w:sz="6" w:space="0" w:color="000000"/>
              <w:bottom w:val="single" w:sz="6" w:space="0" w:color="000000"/>
              <w:end w:val="single" w:sz="6" w:space="0" w:color="000000"/>
            </w:tcBorders>
          </w:tcPr>
          <w:p>
            <w:pPr>
              <w:pStyle w:val="Normal"/>
              <w:jc w:val="center"/>
              <w:rPr>
                <w:color w:val="000000"/>
              </w:rPr>
            </w:pPr>
            <w:r>
              <w:rPr>
                <w:color w:val="000000"/>
              </w:rPr>
              <w:t>61.00</w:t>
            </w:r>
          </w:p>
        </w:tc>
        <w:tc>
          <w:tcPr>
            <w:tcW w:w="1177" w:type="dxa"/>
            <w:tcBorders>
              <w:top w:val="single" w:sz="6" w:space="0" w:color="000000"/>
              <w:start w:val="single" w:sz="6" w:space="0" w:color="000000"/>
              <w:bottom w:val="single" w:sz="6" w:space="0" w:color="000000"/>
              <w:end w:val="single" w:sz="6" w:space="0" w:color="000000"/>
            </w:tcBorders>
          </w:tcPr>
          <w:p>
            <w:pPr>
              <w:pStyle w:val="Normal"/>
              <w:jc w:val="center"/>
              <w:rPr>
                <w:color w:val="000000"/>
              </w:rPr>
            </w:pPr>
            <w:r>
              <w:rPr>
                <w:color w:val="000000"/>
              </w:rPr>
              <w:t>51.50</w:t>
            </w:r>
          </w:p>
        </w:tc>
      </w:tr>
      <w:tr>
        <w:trPr>
          <w:trHeight w:val="250" w:hRule="atLeast"/>
        </w:trPr>
        <w:tc>
          <w:tcPr>
            <w:tcW w:w="4020" w:type="dxa"/>
            <w:gridSpan w:val="4"/>
            <w:tcBorders>
              <w:top w:val="single" w:sz="6" w:space="0" w:color="000000"/>
              <w:start w:val="single" w:sz="6" w:space="0" w:color="000000"/>
              <w:bottom w:val="single" w:sz="6" w:space="0" w:color="000000"/>
              <w:end w:val="single" w:sz="6" w:space="0" w:color="000000"/>
            </w:tcBorders>
          </w:tcPr>
          <w:p>
            <w:pPr>
              <w:pStyle w:val="Normal"/>
              <w:rPr>
                <w:color w:val="000000"/>
              </w:rPr>
            </w:pPr>
            <w:r>
              <w:rPr>
                <w:color w:val="000000"/>
              </w:rPr>
              <w:t>March 1, 2004 - February 28, 2005</w:t>
            </w:r>
          </w:p>
        </w:tc>
        <w:tc>
          <w:tcPr>
            <w:tcW w:w="1178" w:type="dxa"/>
            <w:tcBorders>
              <w:top w:val="single" w:sz="6" w:space="0" w:color="000000"/>
              <w:start w:val="single" w:sz="6" w:space="0" w:color="000000"/>
              <w:bottom w:val="single" w:sz="6" w:space="0" w:color="000000"/>
              <w:end w:val="single" w:sz="6" w:space="0" w:color="000000"/>
            </w:tcBorders>
          </w:tcPr>
          <w:p>
            <w:pPr>
              <w:pStyle w:val="Normal"/>
              <w:jc w:val="center"/>
              <w:rPr>
                <w:color w:val="000000"/>
              </w:rPr>
            </w:pPr>
            <w:r>
              <w:rPr>
                <w:color w:val="000000"/>
              </w:rPr>
              <w:t>58.00</w:t>
            </w:r>
          </w:p>
        </w:tc>
        <w:tc>
          <w:tcPr>
            <w:tcW w:w="1177" w:type="dxa"/>
            <w:tcBorders>
              <w:top w:val="single" w:sz="6" w:space="0" w:color="000000"/>
              <w:start w:val="single" w:sz="6" w:space="0" w:color="000000"/>
              <w:bottom w:val="single" w:sz="6" w:space="0" w:color="000000"/>
              <w:end w:val="single" w:sz="6" w:space="0" w:color="000000"/>
            </w:tcBorders>
          </w:tcPr>
          <w:p>
            <w:pPr>
              <w:pStyle w:val="Normal"/>
              <w:jc w:val="center"/>
              <w:rPr>
                <w:color w:val="000000"/>
              </w:rPr>
            </w:pPr>
            <w:r>
              <w:rPr>
                <w:color w:val="000000"/>
              </w:rPr>
              <w:t>47.00</w:t>
            </w:r>
          </w:p>
        </w:tc>
      </w:tr>
    </w:tbl>
    <w:p>
      <w:pPr>
        <w:pStyle w:val="Normal"/>
        <w:ind w:firstLine="720" w:start="1440" w:end="0"/>
        <w:rPr>
          <w:highlight w:val="yellow"/>
        </w:rPr>
      </w:pPr>
      <w:r>
        <w:rPr>
          <w:highlight w:val="yellow"/>
        </w:rPr>
        <w:t>[Price floors/caps subject to change in negotiations]</w:t>
      </w:r>
    </w:p>
    <w:p>
      <w:pPr>
        <w:pStyle w:val="Normal"/>
        <w:rPr>
          <w:b/>
        </w:rPr>
      </w:pPr>
      <w:r>
        <w:rPr>
          <w:b/>
        </w:rPr>
      </w:r>
    </w:p>
    <w:p>
      <w:pPr>
        <w:pStyle w:val="Normal"/>
        <w:rPr>
          <w:b/>
        </w:rPr>
      </w:pPr>
      <w:r>
        <w:rPr>
          <w:b/>
        </w:rPr>
        <w:t>Delivery Point:</w:t>
      </w:r>
    </w:p>
    <w:p>
      <w:pPr>
        <w:pStyle w:val="Normal"/>
        <w:rPr>
          <w:b/>
        </w:rPr>
      </w:pPr>
      <w:r>
        <w:rPr/>
        <w:t>Any point on NEPOOL PTF until congestion management system (“CMS”) implementation.  Once CMS is implemented, delivery point is any point(s) on PTF that interconnect with CMP local system boundary.</w:t>
      </w:r>
    </w:p>
    <w:p>
      <w:pPr>
        <w:pStyle w:val="Normal"/>
        <w:rPr>
          <w:b/>
        </w:rPr>
      </w:pPr>
      <w:r>
        <w:rPr>
          <w:b/>
        </w:rPr>
      </w:r>
    </w:p>
    <w:p>
      <w:pPr>
        <w:pStyle w:val="Normal"/>
        <w:rPr>
          <w:b/>
        </w:rPr>
      </w:pPr>
      <w:r>
        <w:rPr>
          <w:b/>
        </w:rPr>
        <w:t>Summary of Swaption Valuation:</w:t>
      </w:r>
    </w:p>
    <w:p>
      <w:pPr>
        <w:pStyle w:val="Normal"/>
        <w:rPr/>
      </w:pPr>
      <w:r>
        <w:rPr/>
        <w:t xml:space="preserve">Enron estimates the swaption value related to the compound put swaption to be $15.1 million with an associated Delta short position of 1.2 million mwhs (3/02 to 2/03), 0.5 million mwhs (3/03 to 2/04), and 0.1 million mwhs (3/04 to 2/05).  </w:t>
      </w:r>
      <w:r>
        <w:rPr>
          <w:highlight w:val="yellow"/>
        </w:rPr>
        <w:t>(still subject to changes in negotiated floor prices)</w:t>
      </w:r>
    </w:p>
    <w:p>
      <w:pPr>
        <w:pStyle w:val="Normal"/>
        <w:rPr/>
      </w:pPr>
      <w:r>
        <w:rPr/>
      </w:r>
    </w:p>
    <w:p>
      <w:pPr>
        <w:pStyle w:val="Normal"/>
        <w:rPr/>
      </w:pPr>
      <w:r>
        <w:rPr/>
      </w:r>
    </w:p>
    <w:p>
      <w:pPr>
        <w:pStyle w:val="Heading2"/>
        <w:widowControl/>
        <w:pBdr>
          <w:top w:val="single" w:sz="8" w:space="1" w:color="000000"/>
        </w:pBdr>
        <w:ind w:hanging="0" w:start="0" w:end="-36"/>
        <w:rPr>
          <w:i w:val="false"/>
          <w:i w:val="false"/>
        </w:rPr>
      </w:pPr>
      <w:r>
        <w:rPr>
          <w:i w:val="false"/>
        </w:rPr>
        <w:t>RETURN SUMMARY</w:t>
      </w:r>
    </w:p>
    <w:p>
      <w:pPr>
        <w:pStyle w:val="Normal"/>
        <w:rPr>
          <w:i/>
          <w:i/>
        </w:rPr>
      </w:pPr>
      <w:r>
        <w:rPr>
          <w:i/>
        </w:rPr>
      </w:r>
    </w:p>
    <w:tbl>
      <w:tblPr>
        <w:tblW w:w="6030" w:type="dxa"/>
        <w:jc w:val="start"/>
        <w:tblInd w:w="378" w:type="dxa"/>
        <w:tblLayout w:type="fixed"/>
        <w:tblCellMar>
          <w:top w:w="0" w:type="dxa"/>
          <w:start w:w="108" w:type="dxa"/>
          <w:bottom w:w="0" w:type="dxa"/>
          <w:end w:w="108" w:type="dxa"/>
        </w:tblCellMar>
      </w:tblPr>
      <w:tblGrid>
        <w:gridCol w:w="2160"/>
        <w:gridCol w:w="1890"/>
        <w:gridCol w:w="1710"/>
        <w:gridCol w:w="270"/>
      </w:tblGrid>
      <w:tr>
        <w:trPr>
          <w:trHeight w:val="195" w:hRule="atLeast"/>
        </w:trPr>
        <w:tc>
          <w:tcPr>
            <w:tcW w:w="2160" w:type="dxa"/>
            <w:tcBorders>
              <w:top w:val="single" w:sz="12" w:space="0" w:color="000000"/>
              <w:start w:val="single" w:sz="12" w:space="0" w:color="000000"/>
              <w:bottom w:val="single" w:sz="12" w:space="0" w:color="000000"/>
            </w:tcBorders>
          </w:tcPr>
          <w:p>
            <w:pPr>
              <w:pStyle w:val="Heading9"/>
              <w:widowControl/>
              <w:tabs>
                <w:tab w:val="clear" w:pos="2870"/>
                <w:tab w:val="clear" w:pos="3617"/>
                <w:tab w:val="center" w:pos="2909" w:leader="none"/>
                <w:tab w:val="center" w:pos="4079" w:leader="none"/>
              </w:tabs>
              <w:ind w:start="0" w:end="-217"/>
              <w:rPr/>
            </w:pPr>
            <w:r>
              <w:rPr/>
              <w:t>Total NPV</w:t>
            </w:r>
          </w:p>
        </w:tc>
        <w:tc>
          <w:tcPr>
            <w:tcW w:w="1890" w:type="dxa"/>
            <w:tcBorders>
              <w:top w:val="single" w:sz="12" w:space="0" w:color="000000"/>
              <w:bottom w:val="single" w:sz="12" w:space="0" w:color="000000"/>
            </w:tcBorders>
          </w:tcPr>
          <w:p>
            <w:pPr>
              <w:pStyle w:val="Normal"/>
              <w:snapToGrid w:val="false"/>
              <w:jc w:val="end"/>
              <w:rPr>
                <w:b/>
              </w:rPr>
            </w:pPr>
            <w:r>
              <w:rPr>
                <w:b/>
              </w:rPr>
            </w:r>
          </w:p>
        </w:tc>
        <w:tc>
          <w:tcPr>
            <w:tcW w:w="1710" w:type="dxa"/>
            <w:tcBorders>
              <w:top w:val="single" w:sz="12" w:space="0" w:color="000000"/>
              <w:bottom w:val="single" w:sz="12" w:space="0" w:color="000000"/>
              <w:end w:val="single" w:sz="4" w:space="0" w:color="000000"/>
            </w:tcBorders>
          </w:tcPr>
          <w:p>
            <w:pPr>
              <w:pStyle w:val="Heading9"/>
              <w:widowControl/>
              <w:tabs>
                <w:tab w:val="decimal" w:pos="792" w:leader="none"/>
                <w:tab w:val="left" w:pos="2870" w:leader="none"/>
                <w:tab w:val="left" w:pos="3617" w:leader="none"/>
              </w:tabs>
              <w:ind w:start="0" w:end="-108"/>
              <w:jc w:val="center"/>
              <w:rPr/>
            </w:pPr>
            <w:r>
              <w:rPr/>
              <w:t>$19.4 Million</w:t>
            </w:r>
          </w:p>
        </w:tc>
        <w:tc>
          <w:tcPr>
            <w:tcW w:w="270" w:type="dxa"/>
            <w:tcBorders/>
          </w:tcPr>
          <w:p>
            <w:pPr>
              <w:pStyle w:val="Heading9"/>
              <w:widowControl/>
              <w:snapToGrid w:val="false"/>
              <w:ind w:start="0" w:end="-108"/>
              <w:rPr/>
            </w:pPr>
            <w:r>
              <w:rPr/>
            </w:r>
          </w:p>
        </w:tc>
      </w:tr>
      <w:tr>
        <w:trPr>
          <w:trHeight w:val="195" w:hRule="atLeast"/>
        </w:trPr>
        <w:tc>
          <w:tcPr>
            <w:tcW w:w="2160" w:type="dxa"/>
            <w:tcBorders>
              <w:top w:val="single" w:sz="12" w:space="0" w:color="000000"/>
              <w:start w:val="single" w:sz="12" w:space="0" w:color="000000"/>
              <w:bottom w:val="single" w:sz="12" w:space="0" w:color="000000"/>
            </w:tcBorders>
          </w:tcPr>
          <w:p>
            <w:pPr>
              <w:pStyle w:val="Heading9"/>
              <w:widowControl/>
              <w:tabs>
                <w:tab w:val="clear" w:pos="2870"/>
                <w:tab w:val="clear" w:pos="3617"/>
                <w:tab w:val="center" w:pos="2909" w:leader="none"/>
                <w:tab w:val="center" w:pos="4079" w:leader="none"/>
              </w:tabs>
              <w:ind w:start="0" w:end="-217"/>
              <w:rPr/>
            </w:pPr>
            <w:r>
              <w:rPr/>
              <w:t>Total RoVAR</w:t>
            </w:r>
          </w:p>
        </w:tc>
        <w:tc>
          <w:tcPr>
            <w:tcW w:w="1890" w:type="dxa"/>
            <w:tcBorders>
              <w:top w:val="single" w:sz="12" w:space="0" w:color="000000"/>
              <w:bottom w:val="single" w:sz="12" w:space="0" w:color="000000"/>
            </w:tcBorders>
          </w:tcPr>
          <w:p>
            <w:pPr>
              <w:pStyle w:val="Normal"/>
              <w:snapToGrid w:val="false"/>
              <w:jc w:val="end"/>
              <w:rPr>
                <w:b/>
              </w:rPr>
            </w:pPr>
            <w:r>
              <w:rPr>
                <w:b/>
              </w:rPr>
            </w:r>
          </w:p>
        </w:tc>
        <w:tc>
          <w:tcPr>
            <w:tcW w:w="1710" w:type="dxa"/>
            <w:tcBorders>
              <w:top w:val="single" w:sz="12" w:space="0" w:color="000000"/>
              <w:bottom w:val="single" w:sz="12" w:space="0" w:color="000000"/>
              <w:end w:val="single" w:sz="4" w:space="0" w:color="000000"/>
            </w:tcBorders>
          </w:tcPr>
          <w:p>
            <w:pPr>
              <w:pStyle w:val="Heading9"/>
              <w:widowControl/>
              <w:tabs>
                <w:tab w:val="decimal" w:pos="792" w:leader="none"/>
                <w:tab w:val="left" w:pos="2870" w:leader="none"/>
                <w:tab w:val="left" w:pos="3617" w:leader="none"/>
              </w:tabs>
              <w:snapToGrid w:val="false"/>
              <w:ind w:start="0" w:end="-108"/>
              <w:jc w:val="center"/>
              <w:rPr>
                <w:b/>
              </w:rPr>
            </w:pPr>
            <w:r>
              <w:rPr>
                <w:b/>
              </w:rPr>
            </w:r>
          </w:p>
        </w:tc>
        <w:tc>
          <w:tcPr>
            <w:tcW w:w="270" w:type="dxa"/>
            <w:tcBorders/>
          </w:tcPr>
          <w:p>
            <w:pPr>
              <w:pStyle w:val="Heading9"/>
              <w:widowControl/>
              <w:snapToGrid w:val="false"/>
              <w:ind w:start="0" w:end="-108"/>
              <w:rPr/>
            </w:pPr>
            <w:r>
              <w:rPr/>
            </w:r>
          </w:p>
        </w:tc>
      </w:tr>
      <w:tr>
        <w:trPr>
          <w:trHeight w:val="195" w:hRule="atLeast"/>
        </w:trPr>
        <w:tc>
          <w:tcPr>
            <w:tcW w:w="2160" w:type="dxa"/>
            <w:tcBorders>
              <w:top w:val="single" w:sz="12" w:space="0" w:color="000000"/>
              <w:start w:val="single" w:sz="12" w:space="0" w:color="000000"/>
              <w:bottom w:val="single" w:sz="12" w:space="0" w:color="000000"/>
            </w:tcBorders>
          </w:tcPr>
          <w:p>
            <w:pPr>
              <w:pStyle w:val="Heading9"/>
              <w:widowControl/>
              <w:tabs>
                <w:tab w:val="clear" w:pos="2870"/>
                <w:tab w:val="clear" w:pos="3617"/>
                <w:tab w:val="center" w:pos="2909" w:leader="none"/>
                <w:tab w:val="center" w:pos="4079" w:leader="none"/>
              </w:tabs>
              <w:ind w:start="0" w:end="-217"/>
              <w:rPr/>
            </w:pPr>
            <w:r>
              <w:rPr/>
              <w:t>Total Incremental VAR</w:t>
            </w:r>
          </w:p>
        </w:tc>
        <w:tc>
          <w:tcPr>
            <w:tcW w:w="1890" w:type="dxa"/>
            <w:tcBorders>
              <w:top w:val="single" w:sz="12" w:space="0" w:color="000000"/>
              <w:bottom w:val="single" w:sz="12" w:space="0" w:color="000000"/>
            </w:tcBorders>
          </w:tcPr>
          <w:p>
            <w:pPr>
              <w:pStyle w:val="Normal"/>
              <w:snapToGrid w:val="false"/>
              <w:jc w:val="end"/>
              <w:rPr>
                <w:b/>
              </w:rPr>
            </w:pPr>
            <w:r>
              <w:rPr>
                <w:b/>
              </w:rPr>
            </w:r>
          </w:p>
        </w:tc>
        <w:tc>
          <w:tcPr>
            <w:tcW w:w="1710" w:type="dxa"/>
            <w:tcBorders>
              <w:top w:val="single" w:sz="12" w:space="0" w:color="000000"/>
              <w:bottom w:val="single" w:sz="12" w:space="0" w:color="000000"/>
              <w:end w:val="single" w:sz="4" w:space="0" w:color="000000"/>
            </w:tcBorders>
          </w:tcPr>
          <w:p>
            <w:pPr>
              <w:pStyle w:val="Heading9"/>
              <w:widowControl/>
              <w:tabs>
                <w:tab w:val="decimal" w:pos="792" w:leader="none"/>
                <w:tab w:val="left" w:pos="2870" w:leader="none"/>
                <w:tab w:val="left" w:pos="3617" w:leader="none"/>
              </w:tabs>
              <w:snapToGrid w:val="false"/>
              <w:ind w:start="0" w:end="-108"/>
              <w:jc w:val="center"/>
              <w:rPr>
                <w:b/>
              </w:rPr>
            </w:pPr>
            <w:r>
              <w:rPr>
                <w:b/>
              </w:rPr>
            </w:r>
          </w:p>
        </w:tc>
        <w:tc>
          <w:tcPr>
            <w:tcW w:w="270" w:type="dxa"/>
            <w:tcBorders/>
          </w:tcPr>
          <w:p>
            <w:pPr>
              <w:pStyle w:val="Heading9"/>
              <w:widowControl/>
              <w:snapToGrid w:val="false"/>
              <w:ind w:start="0" w:end="-108"/>
              <w:rPr/>
            </w:pPr>
            <w:r>
              <w:rPr/>
            </w:r>
          </w:p>
        </w:tc>
      </w:tr>
    </w:tbl>
    <w:p>
      <w:pPr>
        <w:pStyle w:val="Normal"/>
        <w:rPr/>
      </w:pPr>
      <w:r>
        <w:rPr/>
        <w:tab/>
      </w:r>
    </w:p>
    <w:p>
      <w:pPr>
        <w:pStyle w:val="Normal"/>
        <w:rPr>
          <w:highlight w:val="yellow"/>
        </w:rPr>
      </w:pPr>
      <w:r>
        <w:rPr>
          <w:highlight w:val="yellow"/>
        </w:rPr>
        <w:t>(Note:  NPV based on risk premium of $12.3 million plus compound put swaption premium value of $15.1 million less premium used to reduce first year fixed price for CMP of $8.0 million)</w:t>
      </w:r>
    </w:p>
    <w:p>
      <w:pPr>
        <w:pStyle w:val="Normal"/>
        <w:rPr/>
      </w:pPr>
      <w:r>
        <w:rPr/>
      </w:r>
    </w:p>
    <w:p>
      <w:pPr>
        <w:pStyle w:val="Normal"/>
        <w:rPr/>
      </w:pPr>
      <w:r>
        <w:rPr/>
      </w:r>
    </w:p>
    <w:p>
      <w:pPr>
        <w:pStyle w:val="Heading2"/>
        <w:widowControl/>
        <w:pBdr>
          <w:top w:val="single" w:sz="8" w:space="1" w:color="000000"/>
        </w:pBdr>
        <w:ind w:hanging="0" w:start="0" w:end="-36"/>
        <w:rPr>
          <w:b w:val="false"/>
          <w:i w:val="false"/>
          <w:i w:val="false"/>
        </w:rPr>
      </w:pPr>
      <w:r>
        <w:rPr>
          <w:i w:val="false"/>
        </w:rPr>
        <w:t>TRANSACTION UPSIDES/OPTIONALITY</w:t>
      </w:r>
    </w:p>
    <w:p>
      <w:pPr>
        <w:pStyle w:val="Normal"/>
        <w:ind w:end="-36"/>
        <w:jc w:val="both"/>
        <w:rPr/>
      </w:pPr>
      <w:r>
        <w:rPr/>
        <w:t>Enron NA believes this transaction has significant strategic value that allows us to continue developing the skill sets necessary to manage full-requirements power contracts that we believe will become the future of the electric industry in North America.  This strategy is similar to the strategy executed in our energy and natural gas portfolios with transactions such as: United Illuminating, NSTAR, Entex, Keyspan and Peoples.</w:t>
      </w:r>
    </w:p>
    <w:p>
      <w:pPr>
        <w:pStyle w:val="Normal"/>
        <w:jc w:val="both"/>
        <w:rPr/>
      </w:pPr>
      <w:r>
        <w:rPr/>
      </w:r>
    </w:p>
    <w:p>
      <w:pPr>
        <w:pStyle w:val="Normal"/>
        <w:ind w:end="-36"/>
        <w:jc w:val="both"/>
        <w:rPr/>
      </w:pPr>
      <w:r>
        <w:rPr/>
        <w:t>Transaction upside lies in the view that the actual settled prices at ISO New England during the term of this transaction will be less than the current forward prices at which the current value of this transaction is assessed.  This view is based on the premise that generation additions in this fairly closed market will significantly outpace load growth, driving clearing prices towards marginal costs.</w:t>
      </w:r>
    </w:p>
    <w:p>
      <w:pPr>
        <w:pStyle w:val="Normal"/>
        <w:jc w:val="both"/>
        <w:rPr/>
      </w:pPr>
      <w:r>
        <w:rPr/>
      </w:r>
    </w:p>
    <w:p>
      <w:pPr>
        <w:pStyle w:val="Normal"/>
        <w:ind w:end="-36"/>
        <w:jc w:val="both"/>
        <w:rPr/>
      </w:pPr>
      <w:r>
        <w:rPr/>
        <w:t>This transaction also contains a compound spread swaption that we have not valued as part of the transaction analysis.</w:t>
      </w:r>
    </w:p>
    <w:p>
      <w:pPr>
        <w:pStyle w:val="Normal"/>
        <w:rPr/>
      </w:pPr>
      <w:r>
        <w:rPr/>
      </w:r>
    </w:p>
    <w:p>
      <w:pPr>
        <w:pStyle w:val="Normal"/>
        <w:ind w:end="-36"/>
        <w:rPr/>
      </w:pPr>
      <w:r>
        <w:rPr/>
      </w:r>
    </w:p>
    <w:p>
      <w:pPr>
        <w:pStyle w:val="Normal"/>
        <w:pBdr>
          <w:top w:val="single" w:sz="8" w:space="1" w:color="000000"/>
        </w:pBdr>
        <w:ind w:end="-36"/>
        <w:rPr>
          <w:b/>
        </w:rPr>
      </w:pPr>
      <w:r>
        <w:rPr>
          <w:b/>
        </w:rPr>
        <w:t>EXIT STRATEGY</w:t>
      </w:r>
    </w:p>
    <w:p>
      <w:pPr>
        <w:pStyle w:val="Normal"/>
        <w:numPr>
          <w:ilvl w:val="0"/>
          <w:numId w:val="2"/>
        </w:numPr>
        <w:rPr/>
      </w:pPr>
      <w:r>
        <w:rPr/>
        <w:t>The deal term for Enron’s fixed commitment is 12 months and expires 2/28/02, subject to Enron’s option to exercise its rights to extend the contract for up three additional years on a year-by-year basis.  Price for each Extension Term will be known at time Enron exercises its option.</w:t>
      </w:r>
    </w:p>
    <w:p>
      <w:pPr>
        <w:pStyle w:val="Normal"/>
        <w:numPr>
          <w:ilvl w:val="0"/>
          <w:numId w:val="2"/>
        </w:numPr>
        <w:rPr/>
      </w:pPr>
      <w:r>
        <w:rPr/>
        <w:t>Enron can elect not to extend if the market environment or regulatory situation were to undergo adverse changes during the deal term.</w:t>
      </w:r>
    </w:p>
    <w:p>
      <w:pPr>
        <w:pStyle w:val="Normal"/>
        <w:numPr>
          <w:ilvl w:val="0"/>
          <w:numId w:val="2"/>
        </w:numPr>
        <w:rPr/>
      </w:pPr>
      <w:r>
        <w:rPr/>
        <w:t>East Power believes entire deal can be liquidated in a 40-day period.</w:t>
      </w:r>
    </w:p>
    <w:p>
      <w:pPr>
        <w:pStyle w:val="Normal"/>
        <w:rPr/>
      </w:pPr>
      <w:r>
        <w:rPr/>
      </w:r>
    </w:p>
    <w:p>
      <w:pPr>
        <w:pStyle w:val="Normal"/>
        <w:rPr/>
      </w:pPr>
      <w:r>
        <w:rPr/>
      </w:r>
    </w:p>
    <w:p>
      <w:pPr>
        <w:pStyle w:val="Heading2"/>
        <w:widowControl/>
        <w:pBdr>
          <w:top w:val="single" w:sz="8" w:space="1" w:color="000000"/>
        </w:pBdr>
        <w:ind w:hanging="0" w:start="0" w:end="-36"/>
        <w:rPr>
          <w:b w:val="false"/>
          <w:i w:val="false"/>
          <w:i w:val="false"/>
        </w:rPr>
      </w:pPr>
      <w:r>
        <w:rPr>
          <w:i w:val="false"/>
        </w:rPr>
        <w:t>RISK MATRIX</w:t>
      </w:r>
    </w:p>
    <w:p>
      <w:pPr>
        <w:pStyle w:val="Header"/>
        <w:widowControl/>
        <w:tabs>
          <w:tab w:val="clear" w:pos="4320"/>
          <w:tab w:val="clear" w:pos="8640"/>
        </w:tabs>
        <w:rPr>
          <w:b/>
          <w:i/>
          <w:i/>
        </w:rPr>
      </w:pPr>
      <w:r>
        <w:rPr>
          <w:b/>
          <w:i/>
        </w:rPr>
      </w:r>
    </w:p>
    <w:tbl>
      <w:tblPr>
        <w:tblW w:w="9990" w:type="dxa"/>
        <w:jc w:val="start"/>
        <w:tblInd w:w="378" w:type="dxa"/>
        <w:tblLayout w:type="fixed"/>
        <w:tblCellMar>
          <w:top w:w="0" w:type="dxa"/>
          <w:start w:w="108" w:type="dxa"/>
          <w:bottom w:w="0" w:type="dxa"/>
          <w:end w:w="108" w:type="dxa"/>
        </w:tblCellMar>
      </w:tblPr>
      <w:tblGrid>
        <w:gridCol w:w="2520"/>
        <w:gridCol w:w="7470"/>
      </w:tblGrid>
      <w:tr>
        <w:trPr/>
        <w:tc>
          <w:tcPr>
            <w:tcW w:w="25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 xml:space="preserve"> </w:t>
            </w:r>
            <w:r>
              <w:rPr>
                <w:b/>
              </w:rPr>
              <w:t>DESCRIPTION</w:t>
            </w:r>
          </w:p>
        </w:tc>
        <w:tc>
          <w:tcPr>
            <w:tcW w:w="74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rPr/>
            </w:pPr>
            <w:r>
              <w:rPr/>
              <w:t>Market Risk</w:t>
            </w:r>
          </w:p>
        </w:tc>
        <w:tc>
          <w:tcPr>
            <w:tcW w:w="7470" w:type="dxa"/>
            <w:tcBorders>
              <w:top w:val="single" w:sz="6" w:space="0" w:color="000000"/>
              <w:start w:val="single" w:sz="6" w:space="0" w:color="000000"/>
              <w:bottom w:val="single" w:sz="6" w:space="0" w:color="000000"/>
              <w:end w:val="single" w:sz="6" w:space="0" w:color="000000"/>
            </w:tcBorders>
          </w:tcPr>
          <w:p>
            <w:pPr>
              <w:pStyle w:val="Normal"/>
              <w:numPr>
                <w:ilvl w:val="0"/>
                <w:numId w:val="8"/>
              </w:numPr>
              <w:jc w:val="both"/>
              <w:rPr/>
            </w:pPr>
            <w:r>
              <w:rPr/>
              <w:t>Manage exposure in power market through purchases and tolling transactions.</w:t>
            </w:r>
          </w:p>
          <w:p>
            <w:pPr>
              <w:pStyle w:val="Normal"/>
              <w:numPr>
                <w:ilvl w:val="0"/>
                <w:numId w:val="8"/>
              </w:numPr>
              <w:jc w:val="both"/>
              <w:rPr/>
            </w:pPr>
            <w:r>
              <w:rPr/>
              <w:t>We expect Maine prices to liquidate at a discount to NEPOOL average once locational pricing is implemented.</w:t>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rPr/>
            </w:pPr>
            <w:r>
              <w:rPr/>
              <w:t>Green renewable requirement</w:t>
            </w:r>
          </w:p>
        </w:tc>
        <w:tc>
          <w:tcPr>
            <w:tcW w:w="7470" w:type="dxa"/>
            <w:tcBorders>
              <w:top w:val="single" w:sz="6" w:space="0" w:color="000000"/>
              <w:start w:val="single" w:sz="6" w:space="0" w:color="000000"/>
              <w:bottom w:val="single" w:sz="6" w:space="0" w:color="000000"/>
              <w:end w:val="single" w:sz="6" w:space="0" w:color="000000"/>
            </w:tcBorders>
          </w:tcPr>
          <w:p>
            <w:pPr>
              <w:pStyle w:val="Normal"/>
              <w:numPr>
                <w:ilvl w:val="0"/>
                <w:numId w:val="8"/>
              </w:numPr>
              <w:jc w:val="both"/>
              <w:rPr/>
            </w:pPr>
            <w:r>
              <w:rPr/>
              <w:t>Green renewable requirement can be more than full met by existing ENA long position in Bridgeport Resco PPA.</w:t>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rPr/>
            </w:pPr>
            <w:r>
              <w:rPr/>
              <w:t>Transmission congestion</w:t>
            </w:r>
          </w:p>
          <w:p>
            <w:pPr>
              <w:pStyle w:val="Normal"/>
              <w:rPr/>
            </w:pPr>
            <w:r>
              <w:rPr/>
              <w:t>Locational price risk</w:t>
            </w:r>
          </w:p>
        </w:tc>
        <w:tc>
          <w:tcPr>
            <w:tcW w:w="7470" w:type="dxa"/>
            <w:tcBorders>
              <w:top w:val="single" w:sz="6" w:space="0" w:color="000000"/>
              <w:start w:val="single" w:sz="6" w:space="0" w:color="000000"/>
              <w:bottom w:val="single" w:sz="6" w:space="0" w:color="000000"/>
              <w:end w:val="single" w:sz="6" w:space="0" w:color="000000"/>
            </w:tcBorders>
          </w:tcPr>
          <w:p>
            <w:pPr>
              <w:pStyle w:val="Normal"/>
              <w:numPr>
                <w:ilvl w:val="0"/>
                <w:numId w:val="3"/>
              </w:numPr>
              <w:jc w:val="both"/>
              <w:rPr/>
            </w:pPr>
            <w:r>
              <w:rPr/>
              <w:t>CMP covers transmission congestion uplift costs until congestion management system implemented in NEPOOL (target May ’02)</w:t>
            </w:r>
          </w:p>
          <w:p>
            <w:pPr>
              <w:pStyle w:val="Normal"/>
              <w:numPr>
                <w:ilvl w:val="0"/>
                <w:numId w:val="3"/>
              </w:numPr>
              <w:jc w:val="both"/>
              <w:rPr/>
            </w:pPr>
            <w:r>
              <w:rPr/>
              <w:t>Enron will be the beneficiary of any Financial Congestion Rights (“FCRs”) that may be allocated to CMP in respect of this load as a means to mitigate any congestion-related risks that might arise.</w:t>
            </w:r>
          </w:p>
          <w:p>
            <w:pPr>
              <w:pStyle w:val="Normal"/>
              <w:numPr>
                <w:ilvl w:val="0"/>
                <w:numId w:val="3"/>
              </w:numPr>
              <w:jc w:val="both"/>
              <w:rPr/>
            </w:pPr>
            <w:r>
              <w:rPr/>
              <w:t>FCRs are fundamentally the same as FTRs in PJM and TCCs in New York, and Enron has been an active player in both FTR and TTC trading to date.</w:t>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rPr/>
            </w:pPr>
            <w:r>
              <w:rPr/>
              <w:t>Load shape risk</w:t>
            </w:r>
          </w:p>
          <w:p>
            <w:pPr>
              <w:pStyle w:val="Normal"/>
              <w:rPr/>
            </w:pPr>
            <w:r>
              <w:rPr/>
              <w:t>Intra-day price risk</w:t>
            </w:r>
          </w:p>
        </w:tc>
        <w:tc>
          <w:tcPr>
            <w:tcW w:w="7470" w:type="dxa"/>
            <w:tcBorders>
              <w:top w:val="single" w:sz="6" w:space="0" w:color="000000"/>
              <w:start w:val="single" w:sz="6" w:space="0" w:color="000000"/>
              <w:bottom w:val="single" w:sz="6" w:space="0" w:color="000000"/>
              <w:end w:val="single" w:sz="6" w:space="0" w:color="000000"/>
            </w:tcBorders>
          </w:tcPr>
          <w:p>
            <w:pPr>
              <w:pStyle w:val="Normal"/>
              <w:numPr>
                <w:ilvl w:val="0"/>
                <w:numId w:val="3"/>
              </w:numPr>
              <w:jc w:val="both"/>
              <w:rPr/>
            </w:pPr>
            <w:r>
              <w:rPr/>
              <w:t>Physical load shape risk can be mitigated through pool purchases.</w:t>
            </w:r>
          </w:p>
          <w:p>
            <w:pPr>
              <w:pStyle w:val="Normal"/>
              <w:numPr>
                <w:ilvl w:val="0"/>
                <w:numId w:val="3"/>
              </w:numPr>
              <w:jc w:val="both"/>
              <w:rPr/>
            </w:pPr>
            <w:r>
              <w:rPr/>
              <w:t>EPMI has gained extensive experience in managing these types of load-following deals as a result of the UI and NSTAR deals.</w:t>
            </w:r>
          </w:p>
        </w:tc>
      </w:tr>
      <w:tr>
        <w:trPr/>
        <w:tc>
          <w:tcPr>
            <w:tcW w:w="252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pPr>
            <w:r>
              <w:rPr/>
              <w:t>Customer Migration Risk</w:t>
            </w:r>
          </w:p>
        </w:tc>
        <w:tc>
          <w:tcPr>
            <w:tcW w:w="7470" w:type="dxa"/>
            <w:tcBorders>
              <w:top w:val="single" w:sz="6" w:space="0" w:color="000000"/>
              <w:start w:val="single" w:sz="6" w:space="0" w:color="000000"/>
              <w:bottom w:val="single" w:sz="6" w:space="0" w:color="000000"/>
              <w:end w:val="single" w:sz="6" w:space="0" w:color="000000"/>
            </w:tcBorders>
          </w:tcPr>
          <w:p>
            <w:pPr>
              <w:pStyle w:val="Normal"/>
              <w:numPr>
                <w:ilvl w:val="0"/>
                <w:numId w:val="12"/>
              </w:numPr>
              <w:tabs>
                <w:tab w:val="clear" w:pos="720"/>
              </w:tabs>
              <w:ind w:hanging="360" w:start="342" w:end="0"/>
              <w:jc w:val="both"/>
              <w:rPr/>
            </w:pPr>
            <w:r>
              <w:rPr/>
              <w:t>The customers in the class, which Enron will be serving have peak demands ranging from 20 kW to 400 kW, and therefore should not be a prime target for retail load aggregators.</w:t>
            </w:r>
          </w:p>
          <w:p>
            <w:pPr>
              <w:pStyle w:val="Normal"/>
              <w:numPr>
                <w:ilvl w:val="0"/>
                <w:numId w:val="12"/>
              </w:numPr>
              <w:tabs>
                <w:tab w:val="clear" w:pos="720"/>
              </w:tabs>
              <w:ind w:hanging="360" w:start="342" w:end="0"/>
              <w:jc w:val="both"/>
              <w:rPr/>
            </w:pPr>
            <w:r>
              <w:rPr/>
              <w:t>Commission has switching penalties in place to reduce gaming by customers.</w:t>
            </w:r>
          </w:p>
        </w:tc>
      </w:tr>
      <w:tr>
        <w:trPr/>
        <w:tc>
          <w:tcPr>
            <w:tcW w:w="252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pPr>
            <w:r>
              <w:rPr/>
              <w:t>Regulatory Risk</w:t>
            </w:r>
          </w:p>
        </w:tc>
        <w:tc>
          <w:tcPr>
            <w:tcW w:w="7470" w:type="dxa"/>
            <w:tcBorders>
              <w:top w:val="single" w:sz="6" w:space="0" w:color="000000"/>
              <w:start w:val="single" w:sz="6" w:space="0" w:color="000000"/>
              <w:bottom w:val="single" w:sz="6" w:space="0" w:color="000000"/>
              <w:end w:val="single" w:sz="6" w:space="0" w:color="000000"/>
            </w:tcBorders>
          </w:tcPr>
          <w:p>
            <w:pPr>
              <w:pStyle w:val="Normal"/>
              <w:numPr>
                <w:ilvl w:val="0"/>
                <w:numId w:val="9"/>
              </w:numPr>
              <w:tabs>
                <w:tab w:val="clear" w:pos="720"/>
              </w:tabs>
              <w:ind w:hanging="360" w:start="342" w:end="0"/>
              <w:jc w:val="both"/>
              <w:rPr/>
            </w:pPr>
            <w:r>
              <w:rPr/>
              <w:t>Possible termination of $1,000/MWH cap 3/1/01.</w:t>
            </w:r>
          </w:p>
          <w:p>
            <w:pPr>
              <w:pStyle w:val="Normal"/>
              <w:numPr>
                <w:ilvl w:val="0"/>
                <w:numId w:val="9"/>
              </w:numPr>
              <w:tabs>
                <w:tab w:val="clear" w:pos="720"/>
              </w:tabs>
              <w:ind w:hanging="360" w:start="342" w:end="0"/>
              <w:jc w:val="both"/>
              <w:rPr/>
            </w:pPr>
            <w:r>
              <w:rPr/>
              <w:t>Required use of a Load Asset Contract to register obligation with ISO-NE, together with possible modifications to CMS or to reserve markets, could make calculation of customer obligations for ancillaries and uplifts difficult.</w:t>
            </w:r>
          </w:p>
          <w:p>
            <w:pPr>
              <w:pStyle w:val="Normal"/>
              <w:numPr>
                <w:ilvl w:val="0"/>
                <w:numId w:val="4"/>
              </w:numPr>
              <w:tabs>
                <w:tab w:val="clear" w:pos="720"/>
              </w:tabs>
              <w:ind w:hanging="360" w:start="342" w:end="0"/>
              <w:jc w:val="both"/>
              <w:rPr/>
            </w:pPr>
            <w:r>
              <w:rPr/>
              <w:t>Amendments to opt-out fees could increase risk of gaming.  If opt-out fees change in such a way that adversely affects Enron, Enron can terminate contract.</w:t>
            </w:r>
          </w:p>
          <w:p>
            <w:pPr>
              <w:pStyle w:val="Normal"/>
              <w:numPr>
                <w:ilvl w:val="0"/>
                <w:numId w:val="4"/>
              </w:numPr>
              <w:tabs>
                <w:tab w:val="clear" w:pos="720"/>
              </w:tabs>
              <w:ind w:hanging="360" w:start="342" w:end="0"/>
              <w:jc w:val="both"/>
              <w:rPr/>
            </w:pPr>
            <w:r>
              <w:rPr/>
              <w:t>As an attempt to preempt any change to SOS rules that would adversely affect Enron, Maine PUC would provide Enron notice of proposed changes to SOS rules to enable Enron to provide input and guidance before any orders to modify SOS rules are issued. Amendments to code of conduct could increase migration</w:t>
            </w:r>
          </w:p>
          <w:p>
            <w:pPr>
              <w:pStyle w:val="Normal"/>
              <w:numPr>
                <w:ilvl w:val="0"/>
                <w:numId w:val="4"/>
              </w:numPr>
              <w:tabs>
                <w:tab w:val="clear" w:pos="720"/>
              </w:tabs>
              <w:ind w:hanging="360" w:start="342" w:end="0"/>
              <w:jc w:val="both"/>
              <w:rPr/>
            </w:pPr>
            <w:r>
              <w:rPr/>
              <w:t>If customer classes reclassified and CMP/affiliates serve any customers that are removed from class being served by Enron, CMP/affiliate must purchase attendant wholesale supply from Enron</w:t>
            </w:r>
          </w:p>
          <w:p>
            <w:pPr>
              <w:pStyle w:val="Normal"/>
              <w:numPr>
                <w:ilvl w:val="0"/>
                <w:numId w:val="4"/>
              </w:numPr>
              <w:tabs>
                <w:tab w:val="clear" w:pos="720"/>
              </w:tabs>
              <w:ind w:hanging="360" w:start="342" w:end="0"/>
              <w:jc w:val="both"/>
              <w:rPr/>
            </w:pPr>
            <w:r>
              <w:rPr/>
              <w:t>If other regulatory changes occur so that a party is materially adversely affected, parties agree to amend contract to allocate burdens to restore the economic bargain.  This would include Maine’s Code of Conduct that might allow CMP’s affiliate to compete for these customers.</w:t>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jc w:val="both"/>
              <w:rPr/>
            </w:pPr>
            <w:r>
              <w:rPr/>
              <w:t xml:space="preserve">Credit risk </w:t>
            </w:r>
            <w:r>
              <w:rPr>
                <w:highlight w:val="yellow"/>
              </w:rPr>
              <w:t>(credit terms still under negotiation)</w:t>
            </w:r>
          </w:p>
          <w:p>
            <w:pPr>
              <w:pStyle w:val="Normal"/>
              <w:rPr/>
            </w:pPr>
            <w:r>
              <w:rPr/>
            </w:r>
          </w:p>
        </w:tc>
        <w:tc>
          <w:tcPr>
            <w:tcW w:w="7470" w:type="dxa"/>
            <w:tcBorders>
              <w:top w:val="single" w:sz="6" w:space="0" w:color="000000"/>
              <w:start w:val="single" w:sz="6" w:space="0" w:color="000000"/>
              <w:bottom w:val="single" w:sz="6" w:space="0" w:color="000000"/>
              <w:end w:val="single" w:sz="6" w:space="0" w:color="000000"/>
            </w:tcBorders>
          </w:tcPr>
          <w:p>
            <w:pPr>
              <w:pStyle w:val="Normal"/>
              <w:numPr>
                <w:ilvl w:val="0"/>
                <w:numId w:val="6"/>
              </w:numPr>
              <w:tabs>
                <w:tab w:val="clear" w:pos="720"/>
              </w:tabs>
              <w:ind w:hanging="360" w:start="342" w:end="0"/>
              <w:jc w:val="both"/>
              <w:rPr/>
            </w:pPr>
            <w:r>
              <w:rPr/>
              <w:t>CMP has strong credit rating</w:t>
            </w:r>
          </w:p>
          <w:p>
            <w:pPr>
              <w:pStyle w:val="Normal"/>
              <w:numPr>
                <w:ilvl w:val="0"/>
                <w:numId w:val="6"/>
              </w:numPr>
              <w:tabs>
                <w:tab w:val="clear" w:pos="720"/>
              </w:tabs>
              <w:ind w:hanging="360" w:start="342" w:end="0"/>
              <w:jc w:val="both"/>
              <w:rPr/>
            </w:pPr>
            <w:r>
              <w:rPr/>
              <w:t>CMP has sold off its generating capacity and is outsourcing its SOS load requirements.  Therefore, CMP will not be engaging in significant wholesale commodity trading, and as such, CMP’s credit risk is largely limited to its ability to recover through rates sufficient revenues to cover its wholesale power supply expenses.  Since CMP will not sign a contract with Enron until the Maine PUC has issued an order approving their contract with us a prudent and simultaneously setting retail rates, the risk of CMP not being able to recover its costs through rates is minimal.</w:t>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rPr/>
            </w:pPr>
            <w:r>
              <w:rPr/>
              <w:t xml:space="preserve">Legal risk </w:t>
            </w:r>
            <w:r>
              <w:rPr>
                <w:highlight w:val="yellow"/>
              </w:rPr>
              <w:t>(contract still under negotiation)</w:t>
            </w:r>
            <w:r>
              <w:rPr/>
              <w:t xml:space="preserve">  </w:t>
            </w:r>
          </w:p>
        </w:tc>
        <w:tc>
          <w:tcPr>
            <w:tcW w:w="7470" w:type="dxa"/>
            <w:tcBorders>
              <w:top w:val="single" w:sz="6" w:space="0" w:color="000000"/>
              <w:start w:val="single" w:sz="6" w:space="0" w:color="000000"/>
              <w:bottom w:val="single" w:sz="6" w:space="0" w:color="000000"/>
              <w:end w:val="single" w:sz="6" w:space="0" w:color="000000"/>
            </w:tcBorders>
          </w:tcPr>
          <w:p>
            <w:pPr>
              <w:pStyle w:val="Normal"/>
              <w:numPr>
                <w:ilvl w:val="0"/>
                <w:numId w:val="5"/>
              </w:numPr>
              <w:tabs>
                <w:tab w:val="clear" w:pos="720"/>
              </w:tabs>
              <w:ind w:hanging="360" w:start="342" w:end="0"/>
              <w:jc w:val="both"/>
              <w:rPr/>
            </w:pPr>
            <w:r>
              <w:rPr/>
              <w:t>Arbitration in Boston</w:t>
            </w:r>
          </w:p>
          <w:p>
            <w:pPr>
              <w:pStyle w:val="Normal"/>
              <w:numPr>
                <w:ilvl w:val="0"/>
                <w:numId w:val="5"/>
              </w:numPr>
              <w:tabs>
                <w:tab w:val="clear" w:pos="720"/>
              </w:tabs>
              <w:ind w:hanging="360" w:start="342" w:end="0"/>
              <w:jc w:val="both"/>
              <w:rPr/>
            </w:pPr>
            <w:r>
              <w:rPr/>
              <w:t>Governed by NY law</w:t>
            </w:r>
          </w:p>
        </w:tc>
      </w:tr>
    </w:tbl>
    <w:p>
      <w:pPr>
        <w:pStyle w:val="Normal"/>
        <w:rPr/>
      </w:pPr>
      <w:r>
        <w:rPr/>
      </w:r>
    </w:p>
    <w:p>
      <w:pPr>
        <w:pStyle w:val="Normal"/>
        <w:rPr/>
      </w:pPr>
      <w:r>
        <w:rPr/>
      </w:r>
    </w:p>
    <w:p>
      <w:pPr>
        <w:pStyle w:val="Heading1"/>
        <w:pBdr>
          <w:top w:val="single" w:sz="8" w:space="1" w:color="000000"/>
        </w:pBdr>
        <w:ind w:hanging="0" w:start="0"/>
        <w:rPr/>
      </w:pPr>
      <w:r>
        <w:rPr/>
        <w:t>KEY SUCCESS FACTORS</w:t>
      </w:r>
    </w:p>
    <w:p>
      <w:pPr>
        <w:pStyle w:val="Normal"/>
        <w:rPr/>
      </w:pPr>
      <w:r>
        <w:rPr/>
      </w:r>
    </w:p>
    <w:tbl>
      <w:tblPr>
        <w:tblW w:w="9990" w:type="dxa"/>
        <w:jc w:val="start"/>
        <w:tblInd w:w="378" w:type="dxa"/>
        <w:tblLayout w:type="fixed"/>
        <w:tblCellMar>
          <w:top w:w="0" w:type="dxa"/>
          <w:start w:w="108" w:type="dxa"/>
          <w:bottom w:w="0" w:type="dxa"/>
          <w:end w:w="108" w:type="dxa"/>
        </w:tblCellMar>
      </w:tblPr>
      <w:tblGrid>
        <w:gridCol w:w="3960"/>
        <w:gridCol w:w="810"/>
        <w:gridCol w:w="2790"/>
        <w:gridCol w:w="2430"/>
      </w:tblGrid>
      <w:tr>
        <w:trPr/>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NA</w:t>
            </w:r>
          </w:p>
        </w:tc>
        <w:tc>
          <w:tcPr>
            <w:tcW w:w="2790" w:type="dxa"/>
            <w:tcBorders>
              <w:top w:val="single" w:sz="4" w:space="0" w:color="000000"/>
              <w:start w:val="single" w:sz="4" w:space="0" w:color="000000"/>
              <w:bottom w:val="single" w:sz="4" w:space="0" w:color="000000"/>
            </w:tcBorders>
          </w:tcPr>
          <w:p>
            <w:pPr>
              <w:pStyle w:val="Heading1"/>
              <w:ind w:hanging="0" w:start="0"/>
              <w:rPr/>
            </w:pPr>
            <w:r>
              <w:rPr/>
              <w:t>Poor</w:t>
            </w:r>
          </w:p>
        </w:tc>
        <w:tc>
          <w:tcPr>
            <w:tcW w:w="2430" w:type="dxa"/>
            <w:tcBorders>
              <w:top w:val="single" w:sz="4" w:space="0" w:color="000000"/>
              <w:bottom w:val="single" w:sz="4" w:space="0" w:color="000000"/>
              <w:end w:val="single" w:sz="4" w:space="0" w:color="000000"/>
            </w:tcBorders>
          </w:tcPr>
          <w:p>
            <w:pPr>
              <w:pStyle w:val="Heading5"/>
              <w:ind w:hanging="0" w:start="0"/>
              <w:rPr/>
            </w:pPr>
            <w:r>
              <w:rPr/>
              <w:t>Excellent</w:t>
            </w:r>
          </w:p>
        </w:tc>
      </w:tr>
      <w:tr>
        <w:trPr/>
        <w:tc>
          <w:tcPr>
            <w:tcW w:w="396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Core Business</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bottom w:val="single" w:sz="4" w:space="0" w:color="000000"/>
              <w:end w:val="single" w:sz="4" w:space="0" w:color="000000"/>
            </w:tcBorders>
          </w:tcPr>
          <w:p>
            <w:pPr>
              <w:pStyle w:val="Normal"/>
              <w:rPr/>
            </w:pPr>
            <w:r>
              <w:rPr/>
              <w:t xml:space="preserve">                         </w:t>
            </w:r>
            <w:r>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Strategic Fit</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top w:val="single" w:sz="4" w:space="0" w:color="000000"/>
              <w:bottom w:val="single" w:sz="4" w:space="0" w:color="000000"/>
              <w:end w:val="single" w:sz="4" w:space="0" w:color="000000"/>
            </w:tcBorders>
          </w:tcPr>
          <w:p>
            <w:pPr>
              <w:pStyle w:val="Normal"/>
              <w:rPr/>
            </w:pPr>
            <w:r>
              <w:rPr/>
              <w:t xml:space="preserve">         </w:t>
            </w:r>
            <w:r>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Upside Potential</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top w:val="single" w:sz="4" w:space="0" w:color="000000"/>
              <w:bottom w:val="single" w:sz="4" w:space="0" w:color="000000"/>
              <w:end w:val="single" w:sz="4" w:space="0" w:color="000000"/>
            </w:tcBorders>
          </w:tcPr>
          <w:p>
            <w:pPr>
              <w:pStyle w:val="Normal"/>
              <w:rPr/>
            </w:pPr>
            <w:r>
              <w:rPr/>
              <w:t xml:space="preserve">                                 </w:t>
            </w:r>
            <w:r>
              <w:rPr/>
              <w:t xml:space="preserve">X       </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Management</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top w:val="single" w:sz="4" w:space="0" w:color="000000"/>
              <w:bottom w:val="single" w:sz="4" w:space="0" w:color="000000"/>
              <w:end w:val="single" w:sz="4" w:space="0" w:color="000000"/>
            </w:tcBorders>
          </w:tcPr>
          <w:p>
            <w:pPr>
              <w:pStyle w:val="Normal"/>
              <w:rPr/>
            </w:pPr>
            <w:r>
              <w:rPr/>
              <w:t xml:space="preserve">X       </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Risk Mitigation</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rPr/>
            </w:pPr>
            <w:r>
              <w:rPr/>
              <w:t xml:space="preserve">                                </w:t>
            </w:r>
          </w:p>
        </w:tc>
        <w:tc>
          <w:tcPr>
            <w:tcW w:w="2430" w:type="dxa"/>
            <w:tcBorders>
              <w:top w:val="single" w:sz="4" w:space="0" w:color="000000"/>
              <w:bottom w:val="single" w:sz="4" w:space="0" w:color="000000"/>
              <w:end w:val="single" w:sz="4" w:space="0" w:color="000000"/>
            </w:tcBorders>
          </w:tcPr>
          <w:p>
            <w:pPr>
              <w:pStyle w:val="Normal"/>
              <w:rPr/>
            </w:pPr>
            <w:r>
              <w:rPr/>
              <w:t>X</w:t>
            </w:r>
          </w:p>
        </w:tc>
      </w:tr>
    </w:tbl>
    <w:p>
      <w:pPr>
        <w:pStyle w:val="Normal"/>
        <w:rPr/>
      </w:pPr>
      <w:r>
        <w:rPr/>
      </w:r>
    </w:p>
    <w:p>
      <w:pPr>
        <w:pStyle w:val="Header"/>
        <w:widowControl/>
        <w:tabs>
          <w:tab w:val="clear" w:pos="4320"/>
          <w:tab w:val="clear" w:pos="8640"/>
        </w:tabs>
        <w:rPr/>
      </w:pPr>
      <w:r>
        <w:rPr/>
      </w:r>
    </w:p>
    <w:p>
      <w:pPr>
        <w:pStyle w:val="Normal"/>
        <w:pBdr>
          <w:top w:val="single" w:sz="8" w:space="1" w:color="000000"/>
        </w:pBdr>
        <w:rPr>
          <w:b/>
        </w:rPr>
      </w:pPr>
      <w:r>
        <w:rPr>
          <w:b/>
        </w:rPr>
        <w:t xml:space="preserve">OTHER RAC COMMENTS: </w:t>
      </w:r>
    </w:p>
    <w:p>
      <w:pPr>
        <w:pStyle w:val="Normal"/>
        <w:numPr>
          <w:ilvl w:val="0"/>
          <w:numId w:val="11"/>
        </w:numPr>
        <w:rPr/>
      </w:pPr>
      <w:r>
        <w:rPr/>
        <w:t>ICAP positions not included in value-at-risk.</w:t>
      </w:r>
    </w:p>
    <w:p>
      <w:pPr>
        <w:pStyle w:val="Normal"/>
        <w:rPr/>
      </w:pPr>
      <w:r>
        <w:rPr/>
      </w:r>
    </w:p>
    <w:p>
      <w:pPr>
        <w:pStyle w:val="Normal"/>
        <w:rPr/>
      </w:pPr>
      <w:r>
        <w:rPr/>
      </w:r>
    </w:p>
    <w:tbl>
      <w:tblPr>
        <w:tblW w:w="10518" w:type="dxa"/>
        <w:jc w:val="start"/>
        <w:tblInd w:w="0" w:type="dxa"/>
        <w:tblLayout w:type="fixed"/>
        <w:tblCellMar>
          <w:top w:w="0" w:type="dxa"/>
          <w:start w:w="0" w:type="dxa"/>
          <w:bottom w:w="0" w:type="dxa"/>
          <w:end w:w="0" w:type="dxa"/>
        </w:tblCellMar>
      </w:tblPr>
      <w:tblGrid>
        <w:gridCol w:w="2880"/>
        <w:gridCol w:w="130"/>
        <w:gridCol w:w="2880"/>
        <w:gridCol w:w="354"/>
        <w:gridCol w:w="2924"/>
        <w:gridCol w:w="293"/>
        <w:gridCol w:w="1057"/>
      </w:tblGrid>
      <w:tr>
        <w:trPr>
          <w:trHeight w:val="405" w:hRule="atLeast"/>
        </w:trPr>
        <w:tc>
          <w:tcPr>
            <w:tcW w:w="2880" w:type="dxa"/>
            <w:tcBorders>
              <w:top w:val="single" w:sz="4" w:space="0" w:color="000000"/>
            </w:tcBorders>
            <w:vAlign w:val="bottom"/>
          </w:tcPr>
          <w:p>
            <w:pPr>
              <w:pStyle w:val="Heading1"/>
              <w:ind w:hanging="0" w:start="0"/>
              <w:rPr/>
            </w:pPr>
            <w:r>
              <w:rPr/>
              <w:t>APPROVALS</w:t>
            </w:r>
          </w:p>
        </w:tc>
        <w:tc>
          <w:tcPr>
            <w:tcW w:w="130" w:type="dxa"/>
            <w:tcBorders>
              <w:top w:val="single" w:sz="4" w:space="0" w:color="000000"/>
            </w:tcBorders>
            <w:vAlign w:val="bottom"/>
          </w:tcPr>
          <w:p>
            <w:pPr>
              <w:pStyle w:val="Normal"/>
              <w:keepNext w:val="true"/>
              <w:snapToGrid w:val="false"/>
              <w:rPr>
                <w:b/>
              </w:rPr>
            </w:pPr>
            <w:r>
              <w:rPr>
                <w:b/>
              </w:rPr>
            </w:r>
          </w:p>
        </w:tc>
        <w:tc>
          <w:tcPr>
            <w:tcW w:w="2880"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rHeight w:val="297" w:hRule="atLeast"/>
        </w:trPr>
        <w:tc>
          <w:tcPr>
            <w:tcW w:w="2880" w:type="dxa"/>
            <w:tcBorders/>
          </w:tcPr>
          <w:p>
            <w:pPr>
              <w:pStyle w:val="Normal"/>
              <w:spacing w:before="120" w:after="0"/>
              <w:rPr/>
            </w:pPr>
            <w:r>
              <w:rPr/>
              <w:t>East Power Origination</w:t>
            </w:r>
          </w:p>
        </w:tc>
        <w:tc>
          <w:tcPr>
            <w:tcW w:w="130" w:type="dxa"/>
            <w:tcBorders/>
          </w:tcPr>
          <w:p>
            <w:pPr>
              <w:pStyle w:val="Normal"/>
              <w:snapToGrid w:val="false"/>
              <w:spacing w:before="120" w:after="0"/>
              <w:rPr/>
            </w:pPr>
            <w:r>
              <w:rPr/>
            </w:r>
          </w:p>
        </w:tc>
        <w:tc>
          <w:tcPr>
            <w:tcW w:w="2880" w:type="dxa"/>
            <w:tcBorders>
              <w:bottom w:val="single" w:sz="6" w:space="0" w:color="000000"/>
            </w:tcBorders>
          </w:tcPr>
          <w:p>
            <w:pPr>
              <w:pStyle w:val="Normal"/>
              <w:spacing w:before="120" w:after="0"/>
              <w:rPr/>
            </w:pPr>
            <w:r>
              <w:rPr/>
              <w:t>Jeff Ader/John Llodra</w:t>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880" w:type="dxa"/>
            <w:tcBorders/>
          </w:tcPr>
          <w:p>
            <w:pPr>
              <w:pStyle w:val="Normal"/>
              <w:spacing w:before="120" w:after="0"/>
              <w:rPr/>
            </w:pPr>
            <w:r>
              <w:rPr/>
              <w:t>East Power Trading</w:t>
            </w:r>
          </w:p>
        </w:tc>
        <w:tc>
          <w:tcPr>
            <w:tcW w:w="130" w:type="dxa"/>
            <w:tcBorders/>
          </w:tcPr>
          <w:p>
            <w:pPr>
              <w:pStyle w:val="Normal"/>
              <w:snapToGrid w:val="false"/>
              <w:spacing w:before="120" w:after="0"/>
              <w:rPr/>
            </w:pPr>
            <w:r>
              <w:rPr/>
            </w:r>
          </w:p>
        </w:tc>
        <w:tc>
          <w:tcPr>
            <w:tcW w:w="2880" w:type="dxa"/>
            <w:tcBorders>
              <w:top w:val="single" w:sz="6" w:space="0" w:color="000000"/>
              <w:bottom w:val="single" w:sz="6" w:space="0" w:color="000000"/>
            </w:tcBorders>
          </w:tcPr>
          <w:p>
            <w:pPr>
              <w:pStyle w:val="Normal"/>
              <w:spacing w:before="120" w:after="0"/>
              <w:rPr/>
            </w:pPr>
            <w:r>
              <w:rPr/>
              <w:t>Kevin Presto/Dana Davis</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880" w:type="dxa"/>
            <w:tcBorders/>
          </w:tcPr>
          <w:p>
            <w:pPr>
              <w:pStyle w:val="Normal"/>
              <w:spacing w:before="120" w:after="0"/>
              <w:rPr/>
            </w:pPr>
            <w:r>
              <w:rPr/>
              <w:t>East Power Structuring</w:t>
            </w:r>
          </w:p>
        </w:tc>
        <w:tc>
          <w:tcPr>
            <w:tcW w:w="130" w:type="dxa"/>
            <w:tcBorders/>
          </w:tcPr>
          <w:p>
            <w:pPr>
              <w:pStyle w:val="Normal"/>
              <w:snapToGrid w:val="false"/>
              <w:spacing w:before="120" w:after="0"/>
              <w:rPr/>
            </w:pPr>
            <w:r>
              <w:rPr/>
            </w:r>
          </w:p>
        </w:tc>
        <w:tc>
          <w:tcPr>
            <w:tcW w:w="2880" w:type="dxa"/>
            <w:tcBorders>
              <w:top w:val="single" w:sz="6" w:space="0" w:color="000000"/>
              <w:bottom w:val="single" w:sz="6" w:space="0" w:color="000000"/>
            </w:tcBorders>
          </w:tcPr>
          <w:p>
            <w:pPr>
              <w:pStyle w:val="Normal"/>
              <w:spacing w:before="120" w:after="0"/>
              <w:rPr/>
            </w:pPr>
            <w:r>
              <w:rPr/>
              <w:t>Berney Aucoin/Jim Meyn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880" w:type="dxa"/>
            <w:tcBorders/>
          </w:tcPr>
          <w:p>
            <w:pPr>
              <w:pStyle w:val="Normal"/>
              <w:spacing w:before="120" w:after="0"/>
              <w:rPr/>
            </w:pPr>
            <w:r>
              <w:rPr/>
              <w:t>Enron Government Affairs</w:t>
            </w:r>
          </w:p>
        </w:tc>
        <w:tc>
          <w:tcPr>
            <w:tcW w:w="130" w:type="dxa"/>
            <w:tcBorders/>
          </w:tcPr>
          <w:p>
            <w:pPr>
              <w:pStyle w:val="Normal"/>
              <w:snapToGrid w:val="false"/>
              <w:spacing w:before="120" w:after="0"/>
              <w:rPr/>
            </w:pPr>
            <w:r>
              <w:rPr/>
            </w:r>
          </w:p>
        </w:tc>
        <w:tc>
          <w:tcPr>
            <w:tcW w:w="2880" w:type="dxa"/>
            <w:tcBorders>
              <w:top w:val="single" w:sz="6" w:space="0" w:color="000000"/>
              <w:bottom w:val="single" w:sz="6" w:space="0" w:color="000000"/>
            </w:tcBorders>
          </w:tcPr>
          <w:p>
            <w:pPr>
              <w:pStyle w:val="Normal"/>
              <w:spacing w:before="120" w:after="0"/>
              <w:rPr/>
            </w:pPr>
            <w:r>
              <w:rPr/>
              <w:t>Rick Shapiro/Dan Allegretti</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rHeight w:val="426" w:hRule="atLeast"/>
        </w:trPr>
        <w:tc>
          <w:tcPr>
            <w:tcW w:w="2880" w:type="dxa"/>
            <w:tcBorders/>
          </w:tcPr>
          <w:p>
            <w:pPr>
              <w:pStyle w:val="Normal"/>
              <w:spacing w:before="120" w:after="0"/>
              <w:rPr/>
            </w:pPr>
            <w:r>
              <w:rPr/>
              <w:t>Enron Americas Management</w:t>
            </w:r>
          </w:p>
        </w:tc>
        <w:tc>
          <w:tcPr>
            <w:tcW w:w="130" w:type="dxa"/>
            <w:tcBorders/>
          </w:tcPr>
          <w:p>
            <w:pPr>
              <w:pStyle w:val="Normal"/>
              <w:snapToGrid w:val="false"/>
              <w:spacing w:before="120" w:after="0"/>
              <w:rPr/>
            </w:pPr>
            <w:r>
              <w:rPr/>
            </w:r>
          </w:p>
        </w:tc>
        <w:tc>
          <w:tcPr>
            <w:tcW w:w="2880" w:type="dxa"/>
            <w:tcBorders>
              <w:top w:val="single" w:sz="6" w:space="0" w:color="000000"/>
            </w:tcBorders>
          </w:tcPr>
          <w:p>
            <w:pPr>
              <w:pStyle w:val="Normal"/>
              <w:spacing w:before="120" w:after="0"/>
              <w:rPr/>
            </w:pPr>
            <w:r>
              <w:rPr/>
              <w:t>Dave Delainey/John Lavorato</w:t>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880" w:type="dxa"/>
            <w:tcBorders/>
          </w:tcPr>
          <w:p>
            <w:pPr>
              <w:pStyle w:val="Normal"/>
              <w:spacing w:before="120" w:after="0"/>
              <w:rPr/>
            </w:pPr>
            <w:r>
              <w:rPr/>
              <w:t>RAC Market Risk</w:t>
            </w:r>
          </w:p>
        </w:tc>
        <w:tc>
          <w:tcPr>
            <w:tcW w:w="130" w:type="dxa"/>
            <w:tcBorders/>
          </w:tcPr>
          <w:p>
            <w:pPr>
              <w:pStyle w:val="Normal"/>
              <w:snapToGrid w:val="false"/>
              <w:spacing w:before="120" w:after="0"/>
              <w:rPr/>
            </w:pPr>
            <w:r>
              <w:rPr/>
            </w:r>
          </w:p>
        </w:tc>
        <w:tc>
          <w:tcPr>
            <w:tcW w:w="2880" w:type="dxa"/>
            <w:tcBorders>
              <w:bottom w:val="single" w:sz="4" w:space="0" w:color="000000"/>
            </w:tcBorders>
          </w:tcPr>
          <w:p>
            <w:pPr>
              <w:pStyle w:val="Normal"/>
              <w:spacing w:before="120" w:after="0"/>
              <w:rPr/>
            </w:pPr>
            <w:r>
              <w:rPr/>
              <w:t>David Port</w:t>
            </w:r>
          </w:p>
        </w:tc>
        <w:tc>
          <w:tcPr>
            <w:tcW w:w="354" w:type="dxa"/>
            <w:tcBorders/>
          </w:tcPr>
          <w:p>
            <w:pPr>
              <w:pStyle w:val="Normal"/>
              <w:snapToGrid w:val="false"/>
              <w:spacing w:before="120" w:after="0"/>
              <w:rPr/>
            </w:pPr>
            <w:r>
              <w:rPr/>
            </w:r>
          </w:p>
        </w:tc>
        <w:tc>
          <w:tcPr>
            <w:tcW w:w="2924" w:type="dxa"/>
            <w:tcBorders>
              <w:bottom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4" w:space="0" w:color="000000"/>
            </w:tcBorders>
          </w:tcPr>
          <w:p>
            <w:pPr>
              <w:pStyle w:val="Normal"/>
              <w:snapToGrid w:val="false"/>
              <w:spacing w:before="120" w:after="0"/>
              <w:rPr/>
            </w:pPr>
            <w:r>
              <w:rPr/>
            </w:r>
          </w:p>
        </w:tc>
      </w:tr>
      <w:tr>
        <w:trPr/>
        <w:tc>
          <w:tcPr>
            <w:tcW w:w="2880" w:type="dxa"/>
            <w:tcBorders/>
          </w:tcPr>
          <w:p>
            <w:pPr>
              <w:pStyle w:val="Normal"/>
              <w:spacing w:before="120" w:after="0"/>
              <w:rPr/>
            </w:pPr>
            <w:r>
              <w:rPr/>
              <w:t>RAC Management</w:t>
            </w:r>
          </w:p>
        </w:tc>
        <w:tc>
          <w:tcPr>
            <w:tcW w:w="130" w:type="dxa"/>
            <w:tcBorders/>
          </w:tcPr>
          <w:p>
            <w:pPr>
              <w:pStyle w:val="Normal"/>
              <w:snapToGrid w:val="false"/>
              <w:spacing w:before="120" w:after="0"/>
              <w:rPr/>
            </w:pPr>
            <w:r>
              <w:rPr/>
            </w:r>
          </w:p>
        </w:tc>
        <w:tc>
          <w:tcPr>
            <w:tcW w:w="2880" w:type="dxa"/>
            <w:tcBorders>
              <w:bottom w:val="single" w:sz="4" w:space="0" w:color="000000"/>
            </w:tcBorders>
          </w:tcPr>
          <w:p>
            <w:pPr>
              <w:pStyle w:val="Normal"/>
              <w:spacing w:before="120" w:after="0"/>
              <w:rPr/>
            </w:pPr>
            <w:r>
              <w:rPr/>
              <w:t>Rick Buy/ Dave Gorte</w:t>
            </w:r>
          </w:p>
        </w:tc>
        <w:tc>
          <w:tcPr>
            <w:tcW w:w="354" w:type="dxa"/>
            <w:tcBorders/>
          </w:tcPr>
          <w:p>
            <w:pPr>
              <w:pStyle w:val="Normal"/>
              <w:snapToGrid w:val="false"/>
              <w:spacing w:before="120" w:after="0"/>
              <w:rPr/>
            </w:pPr>
            <w:r>
              <w:rPr/>
            </w:r>
          </w:p>
        </w:tc>
        <w:tc>
          <w:tcPr>
            <w:tcW w:w="2924" w:type="dxa"/>
            <w:tcBorders>
              <w:bottom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4" w:space="0" w:color="000000"/>
            </w:tcBorders>
          </w:tcPr>
          <w:p>
            <w:pPr>
              <w:pStyle w:val="Normal"/>
              <w:snapToGrid w:val="false"/>
              <w:spacing w:before="120" w:after="0"/>
              <w:rPr/>
            </w:pPr>
            <w:r>
              <w:rPr/>
            </w:r>
          </w:p>
        </w:tc>
      </w:tr>
      <w:tr>
        <w:trPr/>
        <w:tc>
          <w:tcPr>
            <w:tcW w:w="2880" w:type="dxa"/>
            <w:tcBorders/>
          </w:tcPr>
          <w:p>
            <w:pPr>
              <w:pStyle w:val="Normal"/>
              <w:spacing w:before="120" w:after="0"/>
              <w:rPr/>
            </w:pPr>
            <w:r>
              <w:rPr/>
              <w:t>ENA Americas Legal</w:t>
            </w:r>
          </w:p>
        </w:tc>
        <w:tc>
          <w:tcPr>
            <w:tcW w:w="130" w:type="dxa"/>
            <w:tcBorders/>
          </w:tcPr>
          <w:p>
            <w:pPr>
              <w:pStyle w:val="Normal"/>
              <w:snapToGrid w:val="false"/>
              <w:spacing w:before="120" w:after="0"/>
              <w:rPr/>
            </w:pPr>
            <w:r>
              <w:rPr/>
            </w:r>
          </w:p>
        </w:tc>
        <w:tc>
          <w:tcPr>
            <w:tcW w:w="2880" w:type="dxa"/>
            <w:tcBorders/>
          </w:tcPr>
          <w:p>
            <w:pPr>
              <w:pStyle w:val="Normal"/>
              <w:spacing w:before="120" w:after="0"/>
              <w:rPr/>
            </w:pPr>
            <w:r>
              <w:rPr/>
              <w:t>Mark Haedicke/Elizabeth Sager/Janice Moore</w:t>
            </w:r>
          </w:p>
        </w:tc>
        <w:tc>
          <w:tcPr>
            <w:tcW w:w="354" w:type="dxa"/>
            <w:tcBorders/>
          </w:tcPr>
          <w:p>
            <w:pPr>
              <w:pStyle w:val="Normal"/>
              <w:snapToGrid w:val="false"/>
              <w:spacing w:before="120" w:after="0"/>
              <w:rPr/>
            </w:pPr>
            <w:r>
              <w:rPr/>
            </w:r>
          </w:p>
        </w:tc>
        <w:tc>
          <w:tcPr>
            <w:tcW w:w="2924" w:type="dxa"/>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cPr>
          <w:p>
            <w:pPr>
              <w:pStyle w:val="Normal"/>
              <w:snapToGrid w:val="false"/>
              <w:spacing w:before="120" w:after="0"/>
              <w:rPr/>
            </w:pPr>
            <w:r>
              <w:rPr/>
            </w:r>
          </w:p>
        </w:tc>
      </w:tr>
    </w:tbl>
    <w:p>
      <w:pPr>
        <w:pStyle w:val="Normal"/>
        <w:rPr>
          <w:b/>
        </w:rPr>
      </w:pPr>
      <w:r>
        <w:rPr>
          <w:b/>
        </w:rPr>
      </w:r>
    </w:p>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/mnt/main-storage/datasets/enron-docs/doc/CMP_DASH__1_31_01_.doc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t>RAC Deal Approval Sheet</w:t>
      <w:tab/>
      <w:t xml:space="preserve">Deal Name: Maine SOS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18"/>
        <w:color w:val="auto"/>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numFmt w:val="bullet"/>
      <w:lvlText w:val="-"/>
      <w:lvlJc w:val="start"/>
      <w:pPr>
        <w:tabs>
          <w:tab w:val="num" w:pos="3960"/>
        </w:tabs>
        <w:ind w:start="3960" w:hanging="360"/>
      </w:pPr>
      <w:rPr>
        <w:rFonts w:ascii="Liberation Serif" w:hAnsi="Liberation Serif" w:cs="Liberation Serif"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sz w:val="16"/>
      </w:rPr>
    </w:lvl>
  </w:abstractNum>
  <w:abstractNum w:abstractNumId="1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outlineLvl w:val="5"/>
    </w:pPr>
    <w:rPr>
      <w:rFonts w:ascii="Arial" w:hAnsi="Arial" w:cs="Arial"/>
      <w:color w:val="000000"/>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ind w:hanging="1440" w:start="1440" w:end="0"/>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Symbol" w:hAnsi="Symbol" w:cs="Symbol"/>
      <w:color w:val="auto"/>
      <w:sz w:val="18"/>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Wingdings" w:hAnsi="Wingdings" w:cs="Wingdings"/>
      <w:sz w:val="16"/>
    </w:rPr>
  </w:style>
  <w:style w:type="character" w:styleId="WW8Num6z0">
    <w:name w:val="WW8Num6z0"/>
    <w:qFormat/>
    <w:rPr>
      <w:rFonts w:ascii="Wingdings" w:hAnsi="Wingdings" w:cs="Wingdings"/>
      <w:sz w:val="16"/>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Wingdings" w:hAnsi="Wingdings" w:cs="Wingdings"/>
      <w:sz w:val="16"/>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Wingdings" w:hAnsi="Wingdings" w:cs="Wingdings"/>
      <w:sz w:val="16"/>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color w:val="auto"/>
      <w:sz w:val="18"/>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Wingdings" w:hAnsi="Wingdings" w:cs="Wingdings"/>
      <w:sz w:val="16"/>
    </w:rPr>
  </w:style>
  <w:style w:type="character" w:styleId="WW8Num22z0">
    <w:name w:val="WW8Num22z0"/>
    <w:qFormat/>
    <w:rPr>
      <w:rFonts w:ascii="Symbol" w:hAnsi="Symbol" w:cs="Symbol"/>
      <w:color w:val="auto"/>
      <w:sz w:val="18"/>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2001-01-30T18:48:00Z</dcterms:created>
  <dc:creator>mruane</dc:creator>
  <dc:description/>
  <dc:language>en-CA</dc:language>
  <cp:lastModifiedBy>logistics</cp:lastModifiedBy>
  <cp:lastPrinted>2001-01-25T17:31:00Z</cp:lastPrinted>
  <dcterms:modified xsi:type="dcterms:W3CDTF">2001-01-31T15:43:00Z</dcterms:modified>
  <cp:revision>4</cp:revision>
  <dc:subject/>
  <dc:title>ENRON RISK ASSESSMENT AND CONTROL</dc:title>
</cp:coreProperties>
</file>