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Header"/>
        <w:widowControl/>
        <w:tabs>
          <w:tab w:val="clear" w:pos="4320"/>
          <w:tab w:val="clear" w:pos="8640"/>
        </w:tabs>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Central Maine Power SOS</w:t>
            </w:r>
          </w:p>
          <w:p>
            <w:pPr>
              <w:pStyle w:val="Normal"/>
              <w:ind w:end="792"/>
              <w:rPr/>
            </w:pPr>
            <w:r>
              <w:rPr/>
              <w:t>Counterparty:  Central Maine Power Company (CMP)</w:t>
            </w:r>
          </w:p>
          <w:p>
            <w:pPr>
              <w:pStyle w:val="Normal"/>
              <w:rPr/>
            </w:pPr>
            <w:r>
              <w:rPr/>
              <w:t>Business Unit:  Enron Power Marketing</w:t>
            </w:r>
          </w:p>
          <w:p>
            <w:pPr>
              <w:pStyle w:val="Normal"/>
              <w:rPr/>
            </w:pPr>
            <w:r>
              <w:rPr/>
              <w:t>Business Unit Originator: John Llodra/George Wood</w:t>
            </w:r>
          </w:p>
          <w:p>
            <w:pPr>
              <w:pStyle w:val="Normal"/>
              <w:tabs>
                <w:tab w:val="clear" w:pos="720"/>
                <w:tab w:val="left" w:pos="1530" w:leader="none"/>
              </w:tabs>
              <w:rPr/>
            </w:pPr>
            <w:r>
              <w:rPr/>
              <w:t></w:t>
            </w:r>
            <w:r>
              <w:rPr/>
              <w:t>Public</w:t>
              <w:tab/>
              <w:t>Xprivate</w:t>
            </w:r>
          </w:p>
          <w:p>
            <w:pPr>
              <w:pStyle w:val="Normal"/>
              <w:tabs>
                <w:tab w:val="clear" w:pos="720"/>
                <w:tab w:val="left" w:pos="1530" w:leader="none"/>
              </w:tabs>
              <w:ind w:end="-738"/>
              <w:rPr/>
            </w:pPr>
            <w:r>
              <w:rPr/>
              <w:t>XMerchant</w:t>
              <w:tab/>
              <w:t>XStrategic</w:t>
            </w:r>
          </w:p>
          <w:p>
            <w:pPr>
              <w:pStyle w:val="Header"/>
              <w:tabs>
                <w:tab w:val="left" w:pos="1530" w:leader="none"/>
                <w:tab w:val="center" w:pos="4320" w:leader="none"/>
                <w:tab w:val="right" w:pos="8640" w:leader="none"/>
              </w:tabs>
              <w:rPr/>
            </w:pPr>
            <w:r>
              <w:rPr/>
              <w:t>Xconforming</w:t>
              <w:tab/>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w:t>
            </w:r>
          </w:p>
          <w:p>
            <w:pPr>
              <w:pStyle w:val="Normal"/>
              <w:ind w:firstLine="90" w:start="-198" w:end="-1095"/>
              <w:rPr/>
            </w:pPr>
            <w:r>
              <w:rPr/>
              <w:t>RAC Analyst:  Lacrecia Davenport/Paul Radous</w:t>
            </w:r>
          </w:p>
          <w:p>
            <w:pPr>
              <w:pStyle w:val="Normal"/>
              <w:ind w:firstLine="90" w:start="-198" w:end="-738"/>
              <w:rPr/>
            </w:pPr>
            <w:r>
              <w:rPr/>
              <w:t xml:space="preserve">Investment Type:  </w:t>
            </w:r>
          </w:p>
          <w:p>
            <w:pPr>
              <w:pStyle w:val="Normal"/>
              <w:ind w:firstLine="90" w:start="-198" w:end="-738"/>
              <w:rPr/>
            </w:pPr>
            <w:r>
              <w:rPr/>
              <w:t>Capital Funding Source(s):  Balance Sheet</w:t>
            </w:r>
          </w:p>
          <w:p>
            <w:pPr>
              <w:pStyle w:val="Normal"/>
              <w:ind w:firstLine="90" w:start="-198" w:end="-738"/>
              <w:rPr/>
            </w:pPr>
            <w:r>
              <w:rPr/>
              <w:t>Expected Closing Date:  09/11/01</w:t>
            </w:r>
          </w:p>
          <w:p>
            <w:pPr>
              <w:pStyle w:val="Normal"/>
              <w:ind w:firstLine="90" w:start="-198" w:end="-738"/>
              <w:rPr/>
            </w:pPr>
            <w:r>
              <w:rPr/>
              <w:t>Expected Funding Date:  N/A</w:t>
            </w:r>
          </w:p>
          <w:p>
            <w:pPr>
              <w:pStyle w:val="Normal"/>
              <w:ind w:firstLine="90" w:start="-198" w:end="-738"/>
              <w:rPr/>
            </w:pPr>
            <w:r>
              <w:rPr/>
              <w:t>Board Approval: Pending  Received  Denied  XN/A</w:t>
            </w:r>
          </w:p>
        </w:tc>
      </w:tr>
    </w:tbl>
    <w:p>
      <w:pPr>
        <w:pStyle w:val="Normal"/>
        <w:rPr/>
      </w:pPr>
      <w:r>
        <w:rPr/>
        <w:t>RAC Recommendation: XProceed with Transaction    Returns below Capital Price   Do not Proceed</w:t>
      </w:r>
    </w:p>
    <w:p>
      <w:pPr>
        <w:pStyle w:val="Heading4"/>
        <w:pBdr>
          <w:top w:val="single" w:sz="8" w:space="1" w:color="000000"/>
        </w:pBdr>
        <w:tabs>
          <w:tab w:val="clear" w:pos="9990"/>
          <w:tab w:val="left" w:pos="10260" w:leader="none"/>
        </w:tabs>
        <w:rPr/>
      </w:pPr>
      <w:r>
        <w:rPr/>
        <w:t>APPROVAL AMOUNT REQUESTED</w:t>
      </w:r>
    </w:p>
    <w:p>
      <w:pPr>
        <w:pStyle w:val="Normal"/>
        <w:ind w:start="360" w:end="-36"/>
        <w:rPr/>
      </w:pPr>
      <w:r>
        <w:rPr/>
        <w:t>Capital Commitment</w:t>
        <w:tab/>
        <w:tab/>
        <w:t>NA</w:t>
      </w:r>
    </w:p>
    <w:p>
      <w:pPr>
        <w:pStyle w:val="Normal"/>
        <w:ind w:start="360" w:end="-306"/>
        <w:rPr/>
      </w:pPr>
      <w:r>
        <w:rPr/>
        <w:t>Bid Bond Amount</w:t>
        <w:tab/>
        <w:tab/>
        <w:t>NA</w:t>
      </w:r>
    </w:p>
    <w:p>
      <w:pPr>
        <w:pStyle w:val="Normal"/>
        <w:rPr/>
      </w:pPr>
      <w:r>
        <w:rPr/>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Market Risk</w:t>
        <w:tab/>
        <w:tab/>
        <w:t>$  9.3 MM</w:t>
        <w:tab/>
        <w:t>60 day liquidation  (1.2 MM incremental overnight VAR, 4.9 MM transaction)</w:t>
      </w:r>
    </w:p>
    <w:p>
      <w:pPr>
        <w:pStyle w:val="Normal"/>
        <w:ind w:start="360" w:end="0"/>
        <w:rPr/>
      </w:pPr>
      <w:r>
        <w:rPr/>
        <w:t>Cost of Funds</w:t>
        <w:tab/>
        <w:t xml:space="preserve">$  1.8 MM   </w:t>
        <w:tab/>
      </w:r>
    </w:p>
    <w:p>
      <w:pPr>
        <w:pStyle w:val="Normal"/>
        <w:ind w:start="360" w:end="0"/>
        <w:rPr/>
      </w:pPr>
      <w:r>
        <w:rPr/>
        <w:t>Credit Risk</w:t>
        <w:tab/>
        <w:tab/>
      </w:r>
      <w:r>
        <w:rPr>
          <w:u w:val="single"/>
        </w:rPr>
        <w:t>$  1.5 MM</w:t>
      </w:r>
    </w:p>
    <w:p>
      <w:pPr>
        <w:pStyle w:val="Normal"/>
        <w:ind w:start="360" w:end="0"/>
        <w:rPr>
          <w:color w:val="FF0000"/>
        </w:rPr>
      </w:pPr>
      <w:r>
        <w:rPr/>
        <w:t>Total Exposure</w:t>
        <w:tab/>
        <w:t>$12.6 MM</w:t>
      </w:r>
    </w:p>
    <w:p>
      <w:pPr>
        <w:pStyle w:val="Normal"/>
        <w:ind w:end="-36"/>
        <w:rPr>
          <w:color w:val="FF0000"/>
        </w:rPr>
      </w:pPr>
      <w:r>
        <w:rPr>
          <w:color w:val="FF0000"/>
        </w:rPr>
      </w:r>
    </w:p>
    <w:p>
      <w:pPr>
        <w:pStyle w:val="Normal"/>
        <w:ind w:end="-36"/>
        <w:rPr/>
      </w:pPr>
      <w:r>
        <w:rPr/>
      </w:r>
    </w:p>
    <w:p>
      <w:pPr>
        <w:pStyle w:val="Heading2"/>
        <w:widowControl/>
        <w:pBdr>
          <w:top w:val="single" w:sz="8" w:space="1" w:color="000000"/>
        </w:pBdr>
        <w:ind w:hanging="0" w:start="0" w:end="-36"/>
        <w:rPr>
          <w:i w:val="false"/>
          <w:i w:val="false"/>
        </w:rPr>
      </w:pPr>
      <w:r>
        <w:rPr>
          <w:i w:val="false"/>
        </w:rPr>
        <w:t xml:space="preserve">DEAL DESCRIPTION </w:t>
      </w:r>
    </w:p>
    <w:p>
      <w:pPr>
        <w:pStyle w:val="Normal"/>
        <w:rPr>
          <w:i/>
          <w:i/>
        </w:rPr>
      </w:pPr>
      <w:r>
        <w:rPr>
          <w:i/>
        </w:rPr>
      </w:r>
    </w:p>
    <w:p>
      <w:pPr>
        <w:pStyle w:val="Heading8"/>
        <w:rPr/>
      </w:pPr>
      <w:r>
        <w:rPr/>
        <w:t>Region:</w:t>
        <w:tab/>
      </w:r>
      <w:r>
        <w:rPr>
          <w:b w:val="false"/>
        </w:rPr>
        <w:t>NEPOOL</w:t>
      </w:r>
    </w:p>
    <w:p>
      <w:pPr>
        <w:pStyle w:val="Normal"/>
        <w:ind w:hanging="3690" w:start="3690" w:end="0"/>
        <w:rPr>
          <w:b/>
        </w:rPr>
      </w:pPr>
      <w:r>
        <w:rPr>
          <w:b/>
        </w:rPr>
      </w:r>
    </w:p>
    <w:p>
      <w:pPr>
        <w:pStyle w:val="Normal"/>
        <w:rPr>
          <w:b/>
        </w:rPr>
      </w:pPr>
      <w:r>
        <w:rPr>
          <w:b/>
        </w:rPr>
        <w:t>Notable Regional Restructuring/Regulatory Issues:</w:t>
      </w:r>
    </w:p>
    <w:p>
      <w:pPr>
        <w:pStyle w:val="Normal"/>
        <w:numPr>
          <w:ilvl w:val="0"/>
          <w:numId w:val="8"/>
        </w:numPr>
        <w:jc w:val="both"/>
        <w:rPr>
          <w:b/>
        </w:rPr>
      </w:pPr>
      <w:r>
        <w:rPr/>
        <w:t>Price Caps – FERC has currently approved a $1,000/MWH price cap on energy for NEPOOL during emergency periods (i.e., OP 4 conditions).  This price cap is due to expire on October 31, 2001.  The ISO recently made a motion to extend the price cap and to expand its applicability to periods other than emergency situations, which was not approved by the NEPOOL Markets Committee.  It is likely that ISO will petition FERC for extension of the price cap, as the conditions serving as the basis for the current price cap have not been rectified.</w:t>
      </w:r>
    </w:p>
    <w:p>
      <w:pPr>
        <w:pStyle w:val="Normal"/>
        <w:numPr>
          <w:ilvl w:val="0"/>
          <w:numId w:val="8"/>
        </w:numPr>
        <w:jc w:val="both"/>
        <w:rPr>
          <w:b/>
        </w:rPr>
      </w:pPr>
      <w:r>
        <w:rPr/>
        <w:t>Locational Pricing System – projected move to a locational pricing system has the potential to create additional upside in that Maine is expected to be a supply pocket.  Timing of locational pricing system implementation highly uncertain at this time however, and may only provide benefits at very tail end of transaction term</w:t>
      </w:r>
    </w:p>
    <w:p>
      <w:pPr>
        <w:pStyle w:val="Normal"/>
        <w:jc w:val="both"/>
        <w:rPr>
          <w:b/>
        </w:rPr>
      </w:pPr>
      <w:r>
        <w:rPr>
          <w:b/>
        </w:rPr>
      </w:r>
    </w:p>
    <w:p>
      <w:pPr>
        <w:pStyle w:val="Normal"/>
        <w:ind w:hanging="3690" w:start="3690" w:end="0"/>
        <w:rPr>
          <w:b/>
        </w:rPr>
      </w:pPr>
      <w:r>
        <w:rPr>
          <w:b/>
        </w:rPr>
        <w:t>Deal Type:</w:t>
      </w:r>
    </w:p>
    <w:p>
      <w:pPr>
        <w:pStyle w:val="Normal"/>
        <w:jc w:val="both"/>
        <w:rPr/>
      </w:pPr>
      <w:r>
        <w:rPr/>
        <w:t>Standard Offer</w:t>
      </w:r>
      <w:r>
        <w:rPr>
          <w:b/>
        </w:rPr>
        <w:t xml:space="preserve"> </w:t>
      </w:r>
      <w:r>
        <w:rPr/>
        <w:t>Service (“SOS”) for residential and small non-residential customer class.  This customer class is comprised of residential and commercial accounts with peak demand below 20 kW.  Responsibilities include the following:</w:t>
      </w:r>
    </w:p>
    <w:p>
      <w:pPr>
        <w:pStyle w:val="Normal"/>
        <w:numPr>
          <w:ilvl w:val="0"/>
          <w:numId w:val="12"/>
        </w:numPr>
        <w:tabs>
          <w:tab w:val="clear" w:pos="720"/>
        </w:tabs>
        <w:ind w:hanging="360" w:start="360" w:end="0"/>
        <w:jc w:val="both"/>
        <w:rPr/>
      </w:pPr>
      <w:r>
        <w:rPr/>
        <w:t xml:space="preserve">All requirements energy, ICAP, ancillary services (10-minute spinning reserves, 10-minute non-spinning reserves, 30-minute operating reserves, automatic generation control), energy uplift, and ISO-NE Tariff charges. </w:t>
      </w:r>
    </w:p>
    <w:p>
      <w:pPr>
        <w:pStyle w:val="Normal"/>
        <w:numPr>
          <w:ilvl w:val="0"/>
          <w:numId w:val="12"/>
        </w:numPr>
        <w:tabs>
          <w:tab w:val="clear" w:pos="720"/>
        </w:tabs>
        <w:ind w:hanging="360" w:start="360" w:end="0"/>
        <w:jc w:val="both"/>
        <w:rPr>
          <w:b/>
        </w:rPr>
      </w:pPr>
      <w:r>
        <w:rPr/>
        <w:t>Green renewable requirements (30% renewable energy portfolio requirement).</w:t>
      </w:r>
    </w:p>
    <w:p>
      <w:pPr>
        <w:pStyle w:val="Normal"/>
        <w:numPr>
          <w:ilvl w:val="0"/>
          <w:numId w:val="12"/>
        </w:numPr>
        <w:tabs>
          <w:tab w:val="clear" w:pos="720"/>
        </w:tabs>
        <w:ind w:hanging="360" w:start="360" w:end="0"/>
        <w:jc w:val="both"/>
        <w:rPr>
          <w:b/>
        </w:rPr>
      </w:pPr>
      <w:r>
        <w:rPr/>
        <w:t>Congestion uplift is a pass-through until such time that a locational energy pricing system is implemented within NEPOOL, at which time Enron would bear transmission congestion costs to CMP’s interconnection points with the NEPOOL regional transmission grid.</w:t>
      </w:r>
    </w:p>
    <w:p>
      <w:pPr>
        <w:pStyle w:val="Normal"/>
        <w:numPr>
          <w:ilvl w:val="0"/>
          <w:numId w:val="12"/>
        </w:numPr>
        <w:tabs>
          <w:tab w:val="clear" w:pos="720"/>
        </w:tabs>
        <w:ind w:hanging="360" w:start="360" w:end="0"/>
        <w:jc w:val="both"/>
        <w:rPr/>
      </w:pPr>
      <w:r>
        <w:rPr/>
        <w:t>Customers will remain CMP retail customers, and CMP will bear all delivery risk from the Delivery Point to the meter.  Moreover, CMP will bear risk of uncollectable accounts and have the obligation for billing and metering.</w:t>
      </w:r>
    </w:p>
    <w:p>
      <w:pPr>
        <w:pStyle w:val="Normal"/>
        <w:rPr>
          <w:b/>
        </w:rPr>
      </w:pPr>
      <w:r>
        <w:rPr>
          <w:b/>
        </w:rPr>
      </w:r>
    </w:p>
    <w:p>
      <w:pPr>
        <w:pStyle w:val="Normal"/>
        <w:jc w:val="both"/>
        <w:rPr/>
      </w:pPr>
      <w:r>
        <w:rPr>
          <w:b/>
        </w:rPr>
        <w:t>Term:</w:t>
      </w:r>
      <w:r>
        <w:rPr/>
        <w:tab/>
        <w:tab/>
        <w:t>March 1, 2002 through February 28, 2005</w:t>
      </w:r>
    </w:p>
    <w:p>
      <w:pPr>
        <w:pStyle w:val="Normal"/>
        <w:rPr/>
      </w:pPr>
      <w:r>
        <w:rPr/>
      </w:r>
    </w:p>
    <w:p>
      <w:pPr>
        <w:pStyle w:val="Heading1"/>
        <w:ind w:hanging="0" w:start="0"/>
        <w:rPr/>
      </w:pPr>
      <w:r>
        <w:rPr/>
        <w:t xml:space="preserve"> </w:t>
      </w:r>
      <w:r>
        <w:rPr/>
        <w:t>PV Quantity (MWh):</w:t>
      </w:r>
    </w:p>
    <w:p>
      <w:pPr>
        <w:pStyle w:val="Normal"/>
        <w:rPr/>
      </w:pPr>
      <w:r>
        <w:rPr/>
        <w:t xml:space="preserve">Short Position: </w:t>
        <w:tab/>
        <w:t xml:space="preserve">(11.1) MM [5x16 Peak (5.8) MM and Off Peak (5.3) MM] with 64.4% annual load factor. </w:t>
      </w:r>
    </w:p>
    <w:p>
      <w:pPr>
        <w:pStyle w:val="Normal"/>
        <w:jc w:val="both"/>
        <w:rPr/>
      </w:pPr>
      <w:r>
        <w:rPr/>
        <w:t xml:space="preserve">Volumes on which payment by CMP will be based will be determined by grossing up metered SOS load for:  (1) CMP transmission and distribution system losses (8.1%); and (2) NEPOOL PTF transmission losses (1.5%).   As this class is not interval-metered, hourly SOS load allocated to EPMI will be determined based on typical customer profiles (for similar weather and time of year conditions), with appropriate adjustments for actual customer billing cycle metered load.  </w:t>
      </w:r>
    </w:p>
    <w:p>
      <w:pPr>
        <w:pStyle w:val="Normal"/>
        <w:ind w:hanging="3600" w:start="3600" w:end="0"/>
        <w:rPr>
          <w:b/>
        </w:rPr>
      </w:pPr>
      <w:r>
        <w:rPr>
          <w:b/>
        </w:rPr>
      </w:r>
    </w:p>
    <w:p>
      <w:pPr>
        <w:pStyle w:val="Normal"/>
        <w:ind w:hanging="3600" w:start="3600" w:end="0"/>
        <w:rPr>
          <w:b/>
        </w:rPr>
      </w:pPr>
      <w:r>
        <w:rPr>
          <w:b/>
        </w:rPr>
        <w:t>Notional Quantity (MW):</w:t>
      </w:r>
    </w:p>
    <w:p>
      <w:pPr>
        <w:pStyle w:val="Normal"/>
        <w:ind w:hanging="3600" w:start="3600" w:end="0"/>
        <w:rPr/>
      </w:pPr>
      <w:r>
        <w:rPr/>
        <w:t>Average of 465 MW</w:t>
      </w:r>
    </w:p>
    <w:p>
      <w:pPr>
        <w:pStyle w:val="Normal"/>
        <w:spacing w:lineRule="atLeast" w:line="240"/>
        <w:rPr/>
      </w:pPr>
      <w:r>
        <w:rPr/>
      </w:r>
      <w:r>
        <w:br w:type="page"/>
      </w:r>
    </w:p>
    <w:p>
      <w:pPr>
        <w:pStyle w:val="Normal"/>
        <w:spacing w:lineRule="atLeast" w:line="240"/>
        <w:rPr>
          <w:b/>
        </w:rPr>
      </w:pPr>
      <w:r>
        <w:rPr>
          <w:b/>
        </w:rPr>
        <w:t>Additional Detail on Transaction Quantity:</w:t>
      </w:r>
    </w:p>
    <w:p>
      <w:pPr>
        <w:pStyle w:val="Normal"/>
        <w:spacing w:lineRule="atLeast" w:line="240"/>
        <w:jc w:val="both"/>
        <w:rPr/>
      </w:pPr>
      <w:r>
        <w:rPr/>
        <w:t>The peak demand for this class is estimated at 844 MW for 2002/03, 846 MW for 2003/04, and 863 for 2004/05.  The projected load is based on 2000 historical data for CMP’s entire residential and small non-residential rate class, in which currently &gt;99% is served under SOS, has been normalized for weather, assumes 1.7%-2.0% annual energy growth, and assumes 0% customer migration from current levels.</w:t>
      </w:r>
    </w:p>
    <w:p>
      <w:pPr>
        <w:pStyle w:val="Normal"/>
        <w:spacing w:lineRule="atLeast" w:line="240"/>
        <w:rPr/>
      </w:pPr>
      <w:r>
        <w:rPr/>
      </w:r>
    </w:p>
    <w:p>
      <w:pPr>
        <w:pStyle w:val="Normal"/>
        <w:jc w:val="both"/>
        <w:rPr>
          <w:b/>
        </w:rPr>
      </w:pPr>
      <w:r>
        <w:rPr>
          <w:b/>
        </w:rPr>
        <w:t>Pricing:</w:t>
      </w:r>
    </w:p>
    <w:p>
      <w:pPr>
        <w:pStyle w:val="Normal"/>
        <w:jc w:val="both"/>
        <w:rPr/>
      </w:pPr>
      <w:r>
        <w:rPr/>
        <w:t>All-In Full Requirements Price:</w:t>
        <w:tab/>
        <w:t>$_______/MWh  (fixed price, TBD subject to change with market)</w:t>
      </w:r>
    </w:p>
    <w:p>
      <w:pPr>
        <w:pStyle w:val="Normal"/>
        <w:spacing w:lineRule="atLeast" w:line="240"/>
        <w:ind w:hanging="2160" w:start="2160" w:end="0"/>
        <w:rPr/>
      </w:pPr>
      <w:r>
        <w:rPr/>
      </w:r>
    </w:p>
    <w:p>
      <w:pPr>
        <w:pStyle w:val="Normal"/>
        <w:rPr>
          <w:b/>
        </w:rPr>
      </w:pPr>
      <w:r>
        <w:rPr>
          <w:b/>
        </w:rPr>
        <w:t>Delivery Point:</w:t>
      </w:r>
    </w:p>
    <w:p>
      <w:pPr>
        <w:pStyle w:val="Normal"/>
        <w:rPr>
          <w:b/>
        </w:rPr>
      </w:pPr>
      <w:r>
        <w:rPr/>
        <w:t>Any point on NEPOOL PTF until locational marginal pricing system implementation.  Once implemented, delivery point for Energy is the point(s) on PTF that interconnect with CMP local system boundary. Delivery point for non-energy products remains any point on PTF.</w:t>
      </w:r>
    </w:p>
    <w:p>
      <w:pPr>
        <w:pStyle w:val="Normal"/>
        <w:rPr>
          <w:b/>
        </w:rPr>
      </w:pPr>
      <w:r>
        <w:rPr>
          <w:b/>
        </w:rPr>
      </w:r>
    </w:p>
    <w:p>
      <w:pPr>
        <w:pStyle w:val="Normal"/>
        <w:rPr>
          <w:b/>
        </w:rPr>
      </w:pPr>
      <w:r>
        <w:rPr>
          <w:b/>
        </w:rPr>
      </w:r>
    </w:p>
    <w:p>
      <w:pPr>
        <w:pStyle w:val="Heading2"/>
        <w:widowControl/>
        <w:pBdr>
          <w:top w:val="single" w:sz="8" w:space="1" w:color="000000"/>
        </w:pBdr>
        <w:ind w:hanging="0" w:start="0" w:end="-36"/>
        <w:rPr>
          <w:i w:val="false"/>
          <w:i w:val="false"/>
        </w:rPr>
      </w:pPr>
      <w:r>
        <w:rPr>
          <w:i w:val="false"/>
        </w:rPr>
        <w:t>RETURN SUMMARY</w:t>
      </w:r>
    </w:p>
    <w:p>
      <w:pPr>
        <w:pStyle w:val="Normal"/>
        <w:rPr>
          <w:i/>
          <w:i/>
        </w:rPr>
      </w:pPr>
      <w:r>
        <w:rPr>
          <w:i/>
        </w:rPr>
      </w:r>
    </w:p>
    <w:tbl>
      <w:tblPr>
        <w:tblW w:w="6030" w:type="dxa"/>
        <w:jc w:val="start"/>
        <w:tblInd w:w="378" w:type="dxa"/>
        <w:tblLayout w:type="fixed"/>
        <w:tblCellMar>
          <w:top w:w="0" w:type="dxa"/>
          <w:start w:w="108" w:type="dxa"/>
          <w:bottom w:w="0" w:type="dxa"/>
          <w:end w:w="108" w:type="dxa"/>
        </w:tblCellMar>
      </w:tblPr>
      <w:tblGrid>
        <w:gridCol w:w="2160"/>
        <w:gridCol w:w="1890"/>
        <w:gridCol w:w="1710"/>
        <w:gridCol w:w="270"/>
      </w:tblGrid>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890" w:type="dxa"/>
            <w:tcBorders>
              <w:top w:val="single" w:sz="12" w:space="0" w:color="000000"/>
              <w:bottom w:val="single" w:sz="12" w:space="0" w:color="000000"/>
            </w:tcBorders>
          </w:tcPr>
          <w:p>
            <w:pPr>
              <w:pStyle w:val="Normal"/>
              <w:snapToGrid w:val="false"/>
              <w:jc w:val="end"/>
              <w:rPr>
                <w:b/>
              </w:rPr>
            </w:pPr>
            <w:r>
              <w:rPr>
                <w:b/>
              </w:rPr>
            </w:r>
          </w:p>
        </w:tc>
        <w:tc>
          <w:tcPr>
            <w:tcW w:w="171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rPr>
                <w:highlight w:val="yellow"/>
              </w:rPr>
            </w:pPr>
            <w:r>
              <w:rPr/>
              <w:t>$30.0-$35.00 Million</w:t>
            </w:r>
          </w:p>
        </w:tc>
        <w:tc>
          <w:tcPr>
            <w:tcW w:w="270" w:type="dxa"/>
            <w:tcBorders/>
          </w:tcPr>
          <w:p>
            <w:pPr>
              <w:pStyle w:val="Heading9"/>
              <w:widowControl/>
              <w:snapToGrid w:val="false"/>
              <w:ind w:start="0" w:end="-108"/>
              <w:rPr>
                <w:highlight w:val="yellow"/>
              </w:rPr>
            </w:pPr>
            <w:r>
              <w:rPr>
                <w:highlight w:val="yellow"/>
              </w:rPr>
            </w:r>
          </w:p>
        </w:tc>
      </w:tr>
    </w:tbl>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numPr>
          <w:ilvl w:val="0"/>
          <w:numId w:val="11"/>
        </w:numPr>
        <w:jc w:val="both"/>
        <w:rPr/>
      </w:pPr>
      <w:r>
        <w:rPr/>
        <w:t>Potential upside associated with implementation of locational marginal energy pricing in NEPOOL, as prices at CMP’s system are likely to liquidate at a discount to NEPOOL average since Maine is expected to be a supply pocket.   No discount to NEPOOL average has been built into our pricing.</w:t>
      </w:r>
    </w:p>
    <w:p>
      <w:pPr>
        <w:pStyle w:val="Normal"/>
        <w:ind w:end="-36"/>
        <w:rPr/>
      </w:pPr>
      <w:r>
        <w:rPr/>
      </w:r>
    </w:p>
    <w:p>
      <w:pPr>
        <w:pStyle w:val="Normal"/>
        <w:pBdr>
          <w:top w:val="single" w:sz="8" w:space="1" w:color="000000"/>
        </w:pBdr>
        <w:ind w:end="-36"/>
        <w:rPr>
          <w:b/>
        </w:rPr>
      </w:pPr>
      <w:r>
        <w:rPr>
          <w:b/>
        </w:rPr>
        <w:t>EXIT STRATEGY</w:t>
      </w:r>
    </w:p>
    <w:p>
      <w:pPr>
        <w:pStyle w:val="Normal"/>
        <w:numPr>
          <w:ilvl w:val="0"/>
          <w:numId w:val="2"/>
        </w:numPr>
        <w:rPr/>
      </w:pPr>
      <w:r>
        <w:rPr/>
        <w:t>The deal term for Enron’s fixed commitment is 36 months and expires 2/28/05</w:t>
      </w:r>
    </w:p>
    <w:p>
      <w:pPr>
        <w:pStyle w:val="Normal"/>
        <w:numPr>
          <w:ilvl w:val="0"/>
          <w:numId w:val="2"/>
        </w:numPr>
        <w:rPr/>
      </w:pPr>
      <w:r>
        <w:rPr/>
        <w:t>East Power believes entire deal can be liquidated in a 60-day period.</w:t>
      </w:r>
    </w:p>
    <w:p>
      <w:pPr>
        <w:pStyle w:val="Normal"/>
        <w:rPr/>
      </w:pPr>
      <w:r>
        <w:rPr/>
      </w:r>
    </w:p>
    <w:p>
      <w:pPr>
        <w:pStyle w:val="Normal"/>
        <w:rPr/>
      </w:pPr>
      <w:r>
        <w:rPr/>
      </w:r>
      <w:r>
        <w:br w:type="page"/>
      </w:r>
    </w:p>
    <w:p>
      <w:pPr>
        <w:pStyle w:val="Heading2"/>
        <w:widowControl/>
        <w:pBdr>
          <w:top w:val="single" w:sz="8" w:space="1" w:color="000000"/>
        </w:pBdr>
        <w:ind w:hanging="0" w:start="0" w:end="-36"/>
        <w:rPr>
          <w:b w:val="false"/>
          <w:i w:val="false"/>
          <w:i w:val="false"/>
        </w:rPr>
      </w:pPr>
      <w:r>
        <w:rPr>
          <w:i w:val="false"/>
        </w:rPr>
        <w:t>RISK MATRIX</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2520"/>
        <w:gridCol w:w="7470"/>
      </w:tblGrid>
      <w:tr>
        <w:trPr/>
        <w:tc>
          <w:tcPr>
            <w:tcW w:w="25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74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Market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9"/>
              </w:numPr>
              <w:jc w:val="both"/>
              <w:rPr/>
            </w:pPr>
            <w:r>
              <w:rPr/>
              <w:t>Manage exposure in power market through purchases and tolling transactions.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Green renewable requirement</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9"/>
              </w:numPr>
              <w:jc w:val="both"/>
              <w:rPr/>
            </w:pPr>
            <w:r>
              <w:rPr/>
              <w:t>Green renewable energy available from existing ENA long position in Bridgeport Resco PPA (runs through 2008) as well as market purchases of green energy.  We have assumed $1.00/MWh green premium applied to the 30% renewable energy requirement, which is substantially higher than recent market for green.</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Ancillary Services</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4"/>
              </w:numPr>
              <w:jc w:val="both"/>
              <w:rPr/>
            </w:pPr>
            <w:r>
              <w:rPr/>
              <w:t>Manage exposure through ancillary product purchases</w:t>
            </w:r>
          </w:p>
          <w:p>
            <w:pPr>
              <w:pStyle w:val="Normal"/>
              <w:numPr>
                <w:ilvl w:val="0"/>
                <w:numId w:val="4"/>
              </w:numPr>
              <w:jc w:val="both"/>
              <w:rPr/>
            </w:pPr>
            <w:r>
              <w:rPr/>
              <w:t>Pricing has been assumed at significant markup from historical ancillary service product liquidations ($0.85/MWh versus $.50/MWh for cal 2000 and $0.44/MWh for the 12 months ending June 2001)</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Energy Uplift</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t>Manage exposure through regulatory involvement in market monitoring and pricing committees with the New England ISO</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Transmission congestion</w:t>
            </w:r>
          </w:p>
          <w:p>
            <w:pPr>
              <w:pStyle w:val="Normal"/>
              <w:rPr/>
            </w:pPr>
            <w:r>
              <w:rPr/>
              <w:t>Locational price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4"/>
              </w:numPr>
              <w:jc w:val="both"/>
              <w:rPr/>
            </w:pPr>
            <w:r>
              <w:rPr/>
              <w:t>CMP covers transmission congestion uplift costs until locational marginal pricing system implemented in NEPOOL (projected ‘03/’04)</w:t>
            </w:r>
          </w:p>
          <w:p>
            <w:pPr>
              <w:pStyle w:val="Normal"/>
              <w:numPr>
                <w:ilvl w:val="0"/>
                <w:numId w:val="4"/>
              </w:numPr>
              <w:jc w:val="both"/>
              <w:rPr/>
            </w:pPr>
            <w:r>
              <w:rPr/>
              <w:t>Once locational pricing implemented, Maine is expected to liquidate at a discount to NEPOOL average, thus potentially creating some upside not currently built into pricing</w:t>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Load shape risk</w:t>
            </w:r>
          </w:p>
          <w:p>
            <w:pPr>
              <w:pStyle w:val="Normal"/>
              <w:rPr/>
            </w:pPr>
            <w:r>
              <w:rPr/>
              <w:t>Intra-day price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4"/>
              </w:numPr>
              <w:jc w:val="both"/>
              <w:rPr/>
            </w:pPr>
            <w:r>
              <w:rPr/>
              <w:t>Physical load shape risk can be mitigated through pool purchases.</w:t>
            </w:r>
          </w:p>
          <w:p>
            <w:pPr>
              <w:pStyle w:val="Normal"/>
              <w:numPr>
                <w:ilvl w:val="0"/>
                <w:numId w:val="4"/>
              </w:numPr>
              <w:jc w:val="both"/>
              <w:rPr/>
            </w:pPr>
            <w:r>
              <w:rPr/>
              <w:t>EPMI has gained extensive experience in managing these types of load-following deals as a result of the UI, NSTAR, and current CMP all-requirements deals.</w:t>
            </w:r>
          </w:p>
        </w:tc>
      </w:tr>
      <w:tr>
        <w:trPr/>
        <w:tc>
          <w:tcPr>
            <w:tcW w:w="25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Customer Migration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15"/>
              </w:numPr>
              <w:tabs>
                <w:tab w:val="clear" w:pos="720"/>
              </w:tabs>
              <w:ind w:hanging="360" w:start="342" w:end="0"/>
              <w:jc w:val="both"/>
              <w:rPr/>
            </w:pPr>
            <w:r>
              <w:rPr/>
              <w:t>The customers in the class, which Enron will be serving have peak demands below 20 kW, and therefore should not be a prime target for retail load aggregators.</w:t>
            </w:r>
          </w:p>
          <w:p>
            <w:pPr>
              <w:pStyle w:val="Normal"/>
              <w:numPr>
                <w:ilvl w:val="0"/>
                <w:numId w:val="15"/>
              </w:numPr>
              <w:tabs>
                <w:tab w:val="clear" w:pos="720"/>
              </w:tabs>
              <w:ind w:hanging="360" w:start="342" w:end="0"/>
              <w:jc w:val="both"/>
              <w:rPr/>
            </w:pPr>
            <w:r>
              <w:rPr/>
              <w:t>We have assumed 0.00% customer migration from current levels.</w:t>
            </w:r>
          </w:p>
          <w:p>
            <w:pPr>
              <w:pStyle w:val="Normal"/>
              <w:numPr>
                <w:ilvl w:val="0"/>
                <w:numId w:val="15"/>
              </w:numPr>
              <w:tabs>
                <w:tab w:val="clear" w:pos="720"/>
              </w:tabs>
              <w:ind w:hanging="360" w:start="342" w:end="0"/>
              <w:jc w:val="both"/>
              <w:rPr/>
            </w:pPr>
            <w:r>
              <w:rPr/>
              <w:t>Less than 1% of this class has migrated since retail competition was implemented in March 2000.</w:t>
            </w:r>
          </w:p>
          <w:p>
            <w:pPr>
              <w:pStyle w:val="Normal"/>
              <w:numPr>
                <w:ilvl w:val="0"/>
                <w:numId w:val="15"/>
              </w:numPr>
              <w:tabs>
                <w:tab w:val="clear" w:pos="720"/>
              </w:tabs>
              <w:ind w:hanging="360" w:start="342" w:end="0"/>
              <w:jc w:val="both"/>
              <w:rPr/>
            </w:pPr>
            <w:r>
              <w:rPr/>
              <w:t>Commission has switching penalties in place to reduce gaming by customers.  EPMI to be beneficiary of any opt-out fees collected</w:t>
            </w:r>
          </w:p>
        </w:tc>
      </w:tr>
      <w:tr>
        <w:trPr/>
        <w:tc>
          <w:tcPr>
            <w:tcW w:w="25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Regulatory Risk</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10"/>
              </w:numPr>
              <w:tabs>
                <w:tab w:val="clear" w:pos="720"/>
              </w:tabs>
              <w:ind w:hanging="360" w:start="342" w:end="0"/>
              <w:jc w:val="both"/>
              <w:rPr/>
            </w:pPr>
            <w:r>
              <w:rPr/>
              <w:t>Possible termination of $1,000/MWH cap.</w:t>
            </w:r>
          </w:p>
          <w:p>
            <w:pPr>
              <w:pStyle w:val="Normal"/>
              <w:numPr>
                <w:ilvl w:val="0"/>
                <w:numId w:val="5"/>
              </w:numPr>
              <w:tabs>
                <w:tab w:val="clear" w:pos="720"/>
              </w:tabs>
              <w:ind w:hanging="360" w:start="342" w:end="0"/>
              <w:jc w:val="both"/>
              <w:rPr/>
            </w:pPr>
            <w:r>
              <w:rPr/>
              <w:t>As an attempt to preempt any change to SOS rules that would adversely affect Enron, Maine PUC would provide Enron notice of proposed changes to SOS rules to enable Enron to provide input and guidance before any orders to modify SOS rules are issued.</w:t>
            </w:r>
          </w:p>
          <w:p>
            <w:pPr>
              <w:pStyle w:val="Normal"/>
              <w:numPr>
                <w:ilvl w:val="0"/>
                <w:numId w:val="5"/>
              </w:numPr>
              <w:tabs>
                <w:tab w:val="clear" w:pos="720"/>
              </w:tabs>
              <w:ind w:hanging="360" w:start="342" w:end="0"/>
              <w:jc w:val="both"/>
              <w:rPr/>
            </w:pPr>
            <w:r>
              <w:rPr/>
              <w:t>If customer classes reclassified and CMP/affiliates serve any customers that are removed from class being served by Enron, CMP/affiliate must purchase attendant wholesale supply from Enron</w:t>
            </w:r>
          </w:p>
          <w:p>
            <w:pPr>
              <w:pStyle w:val="Normal"/>
              <w:numPr>
                <w:ilvl w:val="0"/>
                <w:numId w:val="5"/>
              </w:numPr>
              <w:tabs>
                <w:tab w:val="clear" w:pos="720"/>
              </w:tabs>
              <w:ind w:hanging="360" w:start="342" w:end="0"/>
              <w:jc w:val="both"/>
              <w:rPr/>
            </w:pPr>
            <w:r>
              <w:rPr/>
              <w:t>If other regulatory changes occur so that a party is materially adversely affected, parties agree to amend contract to allocate burdens to restore the economic bargain.  This would include Maine’s Code of Conduct that might allow CMP’s affiliate to compete for these customers.</w:t>
            </w:r>
          </w:p>
        </w:tc>
      </w:tr>
    </w:tbl>
    <w:p>
      <w:pPr>
        <w:pStyle w:val="Heading2"/>
        <w:widowControl/>
        <w:pBdr>
          <w:top w:val="single" w:sz="8" w:space="1" w:color="000000"/>
        </w:pBdr>
        <w:ind w:hanging="0" w:start="0" w:end="-36"/>
        <w:rPr>
          <w:b w:val="false"/>
          <w:i w:val="false"/>
          <w:i w:val="false"/>
        </w:rPr>
      </w:pPr>
      <w:r>
        <w:br w:type="page"/>
      </w:r>
      <w:r>
        <w:rPr>
          <w:i w:val="false"/>
        </w:rPr>
        <w:t>RISK MATRIX (continued)</w:t>
      </w:r>
    </w:p>
    <w:p>
      <w:pPr>
        <w:pStyle w:val="Normal"/>
        <w:rPr>
          <w:b/>
          <w:i/>
          <w:i/>
        </w:rPr>
      </w:pPr>
      <w:r>
        <w:rPr>
          <w:b/>
          <w:i/>
        </w:rPr>
      </w:r>
    </w:p>
    <w:tbl>
      <w:tblPr>
        <w:tblW w:w="9990" w:type="dxa"/>
        <w:jc w:val="start"/>
        <w:tblInd w:w="378" w:type="dxa"/>
        <w:tblLayout w:type="fixed"/>
        <w:tblCellMar>
          <w:top w:w="0" w:type="dxa"/>
          <w:start w:w="108" w:type="dxa"/>
          <w:bottom w:w="0" w:type="dxa"/>
          <w:end w:w="108" w:type="dxa"/>
        </w:tblCellMar>
      </w:tblPr>
      <w:tblGrid>
        <w:gridCol w:w="2520"/>
        <w:gridCol w:w="7470"/>
      </w:tblGrid>
      <w:tr>
        <w:trPr/>
        <w:tc>
          <w:tcPr>
            <w:tcW w:w="2520" w:type="dxa"/>
            <w:tcBorders>
              <w:top w:val="single" w:sz="6" w:space="0" w:color="000000"/>
              <w:start w:val="single" w:sz="6" w:space="0" w:color="000000"/>
              <w:bottom w:val="single" w:sz="6" w:space="0" w:color="000000"/>
              <w:end w:val="single" w:sz="6" w:space="0" w:color="000000"/>
            </w:tcBorders>
          </w:tcPr>
          <w:p>
            <w:pPr>
              <w:pStyle w:val="Normal"/>
              <w:jc w:val="both"/>
              <w:rPr/>
            </w:pPr>
            <w:r>
              <w:rPr/>
              <w:t>Credit risk</w:t>
            </w:r>
          </w:p>
          <w:p>
            <w:pPr>
              <w:pStyle w:val="Normal"/>
              <w:rPr/>
            </w:pPr>
            <w:r>
              <w:rPr/>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7"/>
              </w:numPr>
              <w:tabs>
                <w:tab w:val="clear" w:pos="720"/>
              </w:tabs>
              <w:ind w:hanging="360" w:start="342" w:end="0"/>
              <w:jc w:val="both"/>
              <w:rPr/>
            </w:pPr>
            <w:r>
              <w:rPr/>
              <w:t>CMP currently maintains a senior unsecured debt rating of A3 by Moody’s and an issuer rating of A- by S&amp;P.  These ratings reflect significant improvement in CMP's financial and business risk profiles following the sale of its generation assets, legislative and regulatory support for the recovery of remaining stranded costs, and benefits from anticipated synergy savings following the recently completed merger with Energy East.  CMP’s business as a wires distribution company will significantly limit their involvement in the wholesale commodity trading through the outsourcing of its SOS load requirements. As such, CMP’s credit risk is largely limited to its ability to recover through rates to cover its wholesale power supply expenses.  Since CMP will not sign a contract with EPMI until the Maine PUC has issued an order approving their contract with EPMI and simultaneously setting the retail rates, the risk of CMP not being able to recover its costs through rates is minimal.</w:t>
            </w:r>
          </w:p>
          <w:p>
            <w:pPr>
              <w:pStyle w:val="Normal"/>
              <w:numPr>
                <w:ilvl w:val="0"/>
                <w:numId w:val="14"/>
              </w:numPr>
              <w:jc w:val="both"/>
              <w:rPr/>
            </w:pPr>
            <w:r>
              <w:rPr/>
              <w:t xml:space="preserve">The proposed transaction represents a three year extension of EPMI’s existing relationship with CMP ($26MM current exposure) and will be governed by the Standard Offer Service Wholesales Sales Agreement.  Amongst the standard “event of default” terms, key credit provisions will be limited to rating downgrade events (i.e. rating downgrade below investment grade by either S&amp;P or Moody’s).  Margining in the contract has been waived given the previously stated credit risk mitigants.  </w:t>
            </w:r>
          </w:p>
          <w:p>
            <w:pPr>
              <w:pStyle w:val="Normal"/>
              <w:numPr>
                <w:ilvl w:val="0"/>
                <w:numId w:val="14"/>
              </w:numPr>
              <w:jc w:val="both"/>
              <w:rPr/>
            </w:pPr>
            <w:r>
              <w:rPr/>
              <w:t>EPMI may be required to post a performance bond if Enron Corp is downgraded to BBB or Baa2 by S&amp;P or Moody’s, respectively.</w:t>
            </w:r>
          </w:p>
          <w:p>
            <w:pPr>
              <w:pStyle w:val="Normal"/>
              <w:jc w:val="both"/>
              <w:rPr>
                <w:b/>
              </w:rPr>
            </w:pPr>
            <w:r>
              <w:rPr>
                <w:b/>
              </w:rPr>
            </w:r>
          </w:p>
        </w:tc>
      </w:tr>
      <w:tr>
        <w:trPr/>
        <w:tc>
          <w:tcPr>
            <w:tcW w:w="2520" w:type="dxa"/>
            <w:tcBorders>
              <w:top w:val="single" w:sz="6" w:space="0" w:color="000000"/>
              <w:start w:val="single" w:sz="6" w:space="0" w:color="000000"/>
              <w:bottom w:val="single" w:sz="6" w:space="0" w:color="000000"/>
              <w:end w:val="single" w:sz="6" w:space="0" w:color="000000"/>
            </w:tcBorders>
          </w:tcPr>
          <w:p>
            <w:pPr>
              <w:pStyle w:val="Normal"/>
              <w:rPr/>
            </w:pPr>
            <w:r>
              <w:rPr/>
              <w:t xml:space="preserve">Legal risk </w:t>
            </w:r>
          </w:p>
        </w:tc>
        <w:tc>
          <w:tcPr>
            <w:tcW w:w="7470" w:type="dxa"/>
            <w:tcBorders>
              <w:top w:val="single" w:sz="6" w:space="0" w:color="000000"/>
              <w:start w:val="single" w:sz="6" w:space="0" w:color="000000"/>
              <w:bottom w:val="single" w:sz="6" w:space="0" w:color="000000"/>
              <w:end w:val="single" w:sz="6" w:space="0" w:color="000000"/>
            </w:tcBorders>
          </w:tcPr>
          <w:p>
            <w:pPr>
              <w:pStyle w:val="Normal"/>
              <w:numPr>
                <w:ilvl w:val="0"/>
                <w:numId w:val="6"/>
              </w:numPr>
              <w:tabs>
                <w:tab w:val="clear" w:pos="720"/>
              </w:tabs>
              <w:ind w:hanging="360" w:start="342" w:end="0"/>
              <w:jc w:val="both"/>
              <w:rPr/>
            </w:pPr>
            <w:r>
              <w:rPr/>
              <w:t>Legal risk memo circulated under separate cover.</w:t>
            </w:r>
          </w:p>
        </w:tc>
      </w:tr>
    </w:tbl>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p>
        </w:tc>
        <w:tc>
          <w:tcPr>
            <w:tcW w:w="2430" w:type="dxa"/>
            <w:tcBorders>
              <w:top w:val="single" w:sz="4" w:space="0" w:color="000000"/>
              <w:bottom w:val="single" w:sz="4" w:space="0" w:color="000000"/>
              <w:end w:val="single" w:sz="4" w:space="0" w:color="000000"/>
            </w:tcBorders>
          </w:tcPr>
          <w:p>
            <w:pPr>
              <w:pStyle w:val="Normal"/>
              <w:rPr/>
            </w:pPr>
            <w:r>
              <w:rPr/>
              <w:t>X</w:t>
            </w:r>
          </w:p>
        </w:tc>
      </w:tr>
    </w:tbl>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numPr>
          <w:ilvl w:val="0"/>
          <w:numId w:val="13"/>
        </w:numPr>
        <w:rPr/>
      </w:pPr>
      <w:r>
        <w:rPr/>
        <w:t>ICAP positions not included in value-at-risk.</w:t>
      </w:r>
    </w:p>
    <w:p>
      <w:pPr>
        <w:pStyle w:val="Normal"/>
        <w:rPr/>
      </w:pPr>
      <w:r>
        <w:rPr/>
      </w:r>
    </w:p>
    <w:tbl>
      <w:tblPr>
        <w:tblW w:w="10518" w:type="dxa"/>
        <w:jc w:val="start"/>
        <w:tblInd w:w="0" w:type="dxa"/>
        <w:tblLayout w:type="fixed"/>
        <w:tblCellMar>
          <w:top w:w="0" w:type="dxa"/>
          <w:start w:w="0" w:type="dxa"/>
          <w:bottom w:w="0" w:type="dxa"/>
          <w:end w:w="0" w:type="dxa"/>
        </w:tblCellMar>
      </w:tblPr>
      <w:tblGrid>
        <w:gridCol w:w="2880"/>
        <w:gridCol w:w="130"/>
        <w:gridCol w:w="2880"/>
        <w:gridCol w:w="354"/>
        <w:gridCol w:w="2924"/>
        <w:gridCol w:w="293"/>
        <w:gridCol w:w="1057"/>
      </w:tblGrid>
      <w:tr>
        <w:trPr>
          <w:trHeight w:val="405" w:hRule="atLeast"/>
        </w:trPr>
        <w:tc>
          <w:tcPr>
            <w:tcW w:w="2880" w:type="dxa"/>
            <w:tcBorders>
              <w:top w:val="single" w:sz="4" w:space="0" w:color="000000"/>
            </w:tcBorders>
            <w:vAlign w:val="bottom"/>
          </w:tcPr>
          <w:p>
            <w:pPr>
              <w:pStyle w:val="Heading1"/>
              <w:ind w:hanging="0" w:start="0"/>
              <w:rPr/>
            </w:pPr>
            <w:r>
              <w:rPr/>
              <w:t>APPROVALS</w:t>
            </w:r>
          </w:p>
        </w:tc>
        <w:tc>
          <w:tcPr>
            <w:tcW w:w="130" w:type="dxa"/>
            <w:tcBorders>
              <w:top w:val="single" w:sz="4" w:space="0" w:color="000000"/>
            </w:tcBorders>
            <w:vAlign w:val="bottom"/>
          </w:tcPr>
          <w:p>
            <w:pPr>
              <w:pStyle w:val="Normal"/>
              <w:keepNext w:val="true"/>
              <w:snapToGrid w:val="false"/>
              <w:rPr>
                <w:b/>
              </w:rPr>
            </w:pPr>
            <w:r>
              <w:rPr>
                <w:b/>
              </w:rPr>
            </w:r>
          </w:p>
        </w:tc>
        <w:tc>
          <w:tcPr>
            <w:tcW w:w="2880"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880" w:type="dxa"/>
            <w:tcBorders/>
          </w:tcPr>
          <w:p>
            <w:pPr>
              <w:pStyle w:val="Normal"/>
              <w:spacing w:before="120" w:after="0"/>
              <w:rPr/>
            </w:pPr>
            <w:r>
              <w:rPr/>
              <w:t>East Power Regional Management</w:t>
            </w:r>
          </w:p>
        </w:tc>
        <w:tc>
          <w:tcPr>
            <w:tcW w:w="130" w:type="dxa"/>
            <w:tcBorders/>
          </w:tcPr>
          <w:p>
            <w:pPr>
              <w:pStyle w:val="Normal"/>
              <w:snapToGrid w:val="false"/>
              <w:spacing w:before="120" w:after="0"/>
              <w:rPr/>
            </w:pPr>
            <w:r>
              <w:rPr/>
            </w:r>
          </w:p>
        </w:tc>
        <w:tc>
          <w:tcPr>
            <w:tcW w:w="2880" w:type="dxa"/>
            <w:tcBorders>
              <w:bottom w:val="single" w:sz="6" w:space="0" w:color="000000"/>
            </w:tcBorders>
          </w:tcPr>
          <w:p>
            <w:pPr>
              <w:pStyle w:val="Normal"/>
              <w:spacing w:before="120" w:after="0"/>
              <w:rPr/>
            </w:pPr>
            <w:r>
              <w:rPr/>
              <w:t>Dave Duran/Kevin Presto</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rHeight w:val="297" w:hRule="atLeast"/>
        </w:trPr>
        <w:tc>
          <w:tcPr>
            <w:tcW w:w="2880" w:type="dxa"/>
            <w:tcBorders/>
          </w:tcPr>
          <w:p>
            <w:pPr>
              <w:pStyle w:val="Normal"/>
              <w:spacing w:before="120" w:after="0"/>
              <w:rPr/>
            </w:pPr>
            <w:r>
              <w:rPr/>
              <w:t>East Power Origination</w:t>
            </w:r>
          </w:p>
        </w:tc>
        <w:tc>
          <w:tcPr>
            <w:tcW w:w="130" w:type="dxa"/>
            <w:tcBorders/>
          </w:tcPr>
          <w:p>
            <w:pPr>
              <w:pStyle w:val="Normal"/>
              <w:snapToGrid w:val="false"/>
              <w:spacing w:before="120" w:after="0"/>
              <w:rPr/>
            </w:pPr>
            <w:r>
              <w:rPr/>
            </w:r>
          </w:p>
        </w:tc>
        <w:tc>
          <w:tcPr>
            <w:tcW w:w="2880" w:type="dxa"/>
            <w:tcBorders>
              <w:bottom w:val="single" w:sz="6" w:space="0" w:color="000000"/>
            </w:tcBorders>
          </w:tcPr>
          <w:p>
            <w:pPr>
              <w:pStyle w:val="Normal"/>
              <w:spacing w:before="120" w:after="0"/>
              <w:rPr/>
            </w:pPr>
            <w:r>
              <w:rPr/>
              <w:t>John Llodra/George Wood</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East Power Trading</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Dana Davis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East Power Structuring</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Jim Meyn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Enron Government Affairs</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Dan Allegretti</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Enron Americas Legal</w:t>
            </w:r>
          </w:p>
        </w:tc>
        <w:tc>
          <w:tcPr>
            <w:tcW w:w="130" w:type="dxa"/>
            <w:tcBorders/>
          </w:tcPr>
          <w:p>
            <w:pPr>
              <w:pStyle w:val="Normal"/>
              <w:snapToGrid w:val="false"/>
              <w:spacing w:before="120" w:after="0"/>
              <w:rPr/>
            </w:pPr>
            <w:r>
              <w:rPr/>
            </w:r>
          </w:p>
        </w:tc>
        <w:tc>
          <w:tcPr>
            <w:tcW w:w="2880" w:type="dxa"/>
            <w:tcBorders/>
          </w:tcPr>
          <w:p>
            <w:pPr>
              <w:pStyle w:val="Normal"/>
              <w:spacing w:before="120" w:after="0"/>
              <w:rPr/>
            </w:pPr>
            <w:r>
              <w:rPr/>
              <w:t>Marcus Nettelton</w:t>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rHeight w:val="426" w:hRule="atLeast"/>
        </w:trPr>
        <w:tc>
          <w:tcPr>
            <w:tcW w:w="2880" w:type="dxa"/>
            <w:tcBorders/>
          </w:tcPr>
          <w:p>
            <w:pPr>
              <w:pStyle w:val="Normal"/>
              <w:spacing w:before="120" w:after="0"/>
              <w:rPr/>
            </w:pPr>
            <w:r>
              <w:rPr/>
              <w:t>Enron Americas Management</w:t>
            </w:r>
          </w:p>
        </w:tc>
        <w:tc>
          <w:tcPr>
            <w:tcW w:w="130" w:type="dxa"/>
            <w:tcBorders/>
          </w:tcPr>
          <w:p>
            <w:pPr>
              <w:pStyle w:val="Normal"/>
              <w:snapToGrid w:val="false"/>
              <w:spacing w:before="120" w:after="0"/>
              <w:rPr/>
            </w:pPr>
            <w:r>
              <w:rPr/>
            </w:r>
          </w:p>
        </w:tc>
        <w:tc>
          <w:tcPr>
            <w:tcW w:w="2880" w:type="dxa"/>
            <w:tcBorders>
              <w:top w:val="single" w:sz="6" w:space="0" w:color="000000"/>
            </w:tcBorders>
          </w:tcPr>
          <w:p>
            <w:pPr>
              <w:pStyle w:val="Normal"/>
              <w:spacing w:before="120" w:after="0"/>
              <w:rPr/>
            </w:pPr>
            <w:r>
              <w:rPr/>
              <w:t>Louise Kitchen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Enron Treasury</w:t>
            </w:r>
          </w:p>
        </w:tc>
        <w:tc>
          <w:tcPr>
            <w:tcW w:w="130" w:type="dxa"/>
            <w:tcBorders/>
          </w:tcPr>
          <w:p>
            <w:pPr>
              <w:pStyle w:val="Normal"/>
              <w:snapToGrid w:val="false"/>
              <w:spacing w:before="120" w:after="0"/>
              <w:rPr/>
            </w:pPr>
            <w:r>
              <w:rPr/>
            </w:r>
          </w:p>
        </w:tc>
        <w:tc>
          <w:tcPr>
            <w:tcW w:w="2880" w:type="dxa"/>
            <w:tcBorders>
              <w:top w:val="single" w:sz="6" w:space="0" w:color="000000"/>
              <w:bottom w:val="single" w:sz="6" w:space="0" w:color="000000"/>
            </w:tcBorders>
          </w:tcPr>
          <w:p>
            <w:pPr>
              <w:pStyle w:val="Normal"/>
              <w:spacing w:before="120" w:after="0"/>
              <w:rPr/>
            </w:pPr>
            <w:r>
              <w:rPr/>
              <w:t>Joe Deffner</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880" w:type="dxa"/>
            <w:tcBorders/>
          </w:tcPr>
          <w:p>
            <w:pPr>
              <w:pStyle w:val="Normal"/>
              <w:spacing w:before="120" w:after="0"/>
              <w:rPr/>
            </w:pPr>
            <w:r>
              <w:rPr/>
              <w:t>RAC Management</w:t>
            </w:r>
          </w:p>
        </w:tc>
        <w:tc>
          <w:tcPr>
            <w:tcW w:w="130" w:type="dxa"/>
            <w:tcBorders/>
          </w:tcPr>
          <w:p>
            <w:pPr>
              <w:pStyle w:val="Normal"/>
              <w:snapToGrid w:val="false"/>
              <w:spacing w:before="120" w:after="0"/>
              <w:rPr/>
            </w:pPr>
            <w:r>
              <w:rPr/>
            </w:r>
          </w:p>
        </w:tc>
        <w:tc>
          <w:tcPr>
            <w:tcW w:w="2880" w:type="dxa"/>
            <w:tcBorders>
              <w:bottom w:val="single" w:sz="6" w:space="0" w:color="000000"/>
            </w:tcBorders>
          </w:tcPr>
          <w:p>
            <w:pPr>
              <w:pStyle w:val="Normal"/>
              <w:spacing w:before="120" w:after="0"/>
              <w:rPr/>
            </w:pPr>
            <w:r>
              <w:rPr/>
              <w:t>Bill Bradford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b/>
        </w:rPr>
      </w:pPr>
      <w:r>
        <w:rPr>
          <w:b/>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/mnt/main-storage/datasets/enron-docs/doc/CMP_DASH_9_06_01.doc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CMP SOS </w:t>
    </w:r>
  </w:p>
  <w:p>
    <w:pPr>
      <w:pStyle w:val="Header"/>
      <w:widowControl/>
      <w:tabs>
        <w:tab w:val="clear" w:pos="4320"/>
        <w:tab w:val="clear" w:pos="8640"/>
        <w:tab w:val="right" w:pos="7920" w:leader="none"/>
      </w:tabs>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numFmt w:val="bullet"/>
      <w:lvlText w:val="-"/>
      <w:lvlJc w:val="start"/>
      <w:pPr>
        <w:tabs>
          <w:tab w:val="num" w:pos="3960"/>
        </w:tabs>
        <w:ind w:start="3960" w:hanging="360"/>
      </w:pPr>
      <w:rPr>
        <w:rFonts w:ascii="Liberation Serif" w:hAnsi="Liberation Serif" w:cs="Liberation Serif"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color w:val="000000"/>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hanging="1440" w:start="1440" w:end="0"/>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color w:val="auto"/>
      <w:sz w:val="1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sz w:val="16"/>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sz w:val="16"/>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color w:val="auto"/>
      <w:sz w:val="18"/>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color w:val="auto"/>
      <w:sz w:val="18"/>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2001-09-06T18:14:00Z</dcterms:created>
  <dc:creator>mruane</dc:creator>
  <dc:description/>
  <dc:language>en-CA</dc:language>
  <cp:lastModifiedBy>jmeyn</cp:lastModifiedBy>
  <cp:lastPrinted>2001-09-06T15:44:00Z</cp:lastPrinted>
  <dcterms:modified xsi:type="dcterms:W3CDTF">2001-09-06T18:14:00Z</dcterms:modified>
  <cp:revision>2</cp:revision>
  <dc:subject/>
  <dc:title>ENRON RISK ASSESSMENT AND CONTROL</dc:title>
</cp:coreProperties>
</file>