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December ___, 2000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Peoples Energy Corp.</w:t>
      </w:r>
    </w:p>
    <w:p>
      <w:pPr>
        <w:pStyle w:val="Normal"/>
        <w:rPr>
          <w:sz w:val="22"/>
        </w:rPr>
      </w:pPr>
      <w:r>
        <w:rPr>
          <w:sz w:val="22"/>
        </w:rPr>
        <w:t>130 East Randolph Drive</w:t>
      </w:r>
    </w:p>
    <w:p>
      <w:pPr>
        <w:pStyle w:val="Normal"/>
        <w:rPr>
          <w:sz w:val="22"/>
        </w:rPr>
      </w:pPr>
      <w:r>
        <w:rPr>
          <w:sz w:val="22"/>
        </w:rPr>
        <w:t>Chicago, Illinois   60601</w:t>
      </w:r>
    </w:p>
    <w:p>
      <w:pPr>
        <w:pStyle w:val="Normal"/>
        <w:tabs>
          <w:tab w:val="clear" w:pos="720"/>
          <w:tab w:val="left" w:pos="3600" w:leader="none"/>
        </w:tabs>
        <w:rPr>
          <w:sz w:val="22"/>
        </w:rPr>
      </w:pPr>
      <w:r>
        <w:rPr>
          <w:sz w:val="22"/>
        </w:rPr>
        <w:tab/>
      </w:r>
    </w:p>
    <w:p>
      <w:pPr>
        <w:pStyle w:val="Normal"/>
        <w:tabs>
          <w:tab w:val="clear" w:pos="720"/>
          <w:tab w:val="left" w:pos="3600" w:leader="none"/>
        </w:tabs>
        <w:rPr>
          <w:sz w:val="22"/>
        </w:rPr>
      </w:pPr>
      <w:r>
        <w:rPr>
          <w:sz w:val="22"/>
        </w:rPr>
        <w:t>Attn.:   James Luebbers</w:t>
        <w:tab/>
      </w:r>
    </w:p>
    <w:p>
      <w:pPr>
        <w:pStyle w:val="Normal"/>
        <w:rPr>
          <w:sz w:val="22"/>
        </w:rPr>
      </w:pPr>
      <w:r>
        <w:rPr>
          <w:sz w:val="22"/>
        </w:rPr>
      </w:r>
    </w:p>
    <w:p>
      <w:pPr>
        <w:pStyle w:val="Normal"/>
        <w:ind w:hanging="720" w:start="720" w:end="0"/>
        <w:rPr>
          <w:sz w:val="22"/>
        </w:rPr>
      </w:pPr>
      <w:r>
        <w:rPr>
          <w:sz w:val="22"/>
        </w:rPr>
        <w:t>Re:</w:t>
        <w:tab/>
        <w:t xml:space="preserve">October Enron North America Gas Purchases </w:t>
      </w:r>
    </w:p>
    <w:p>
      <w:pPr>
        <w:pStyle w:val="Heading1"/>
        <w:ind w:hanging="0" w:start="0"/>
        <w:rPr>
          <w:sz w:val="22"/>
        </w:rPr>
      </w:pPr>
      <w:r>
        <w:rPr>
          <w:sz w:val="22"/>
        </w:rPr>
      </w:r>
    </w:p>
    <w:p>
      <w:pPr>
        <w:pStyle w:val="Heading1"/>
        <w:ind w:hanging="0" w:start="0"/>
        <w:rPr>
          <w:b w:val="false"/>
          <w:bCs w:val="false"/>
          <w:i w:val="false"/>
          <w:i w:val="false"/>
          <w:iCs w:val="false"/>
          <w:sz w:val="22"/>
        </w:rPr>
      </w:pPr>
      <w:r>
        <w:rPr>
          <w:b w:val="false"/>
          <w:bCs w:val="false"/>
          <w:i w:val="false"/>
          <w:iCs w:val="false"/>
          <w:sz w:val="22"/>
        </w:rPr>
        <w:t>At the request of Peoples Energy Corp. (“Peoples”), Enron North America (“ENA”) has previously agreed to amend the payment terms solely for gas purchased during the month of October, 2000 by Peoples Gas Light &amp; Coke Company (“PGLC”) and North Shore Gas Company (“NS”) under the respective Gas Purchase and Agency Agreements dated September 16, 1999.  The agreement to amend the forgoing payment terms is reflected in that certain letter dated November __, 2000, a copy of which is attached to this letter (the “First Amendment Letter”).</w:t>
      </w:r>
    </w:p>
    <w:p>
      <w:pPr>
        <w:pStyle w:val="Normal"/>
        <w:rPr>
          <w:b/>
          <w:bCs/>
          <w:i/>
          <w:i/>
          <w:iCs/>
          <w:sz w:val="22"/>
        </w:rPr>
      </w:pPr>
      <w:r>
        <w:rPr>
          <w:b/>
          <w:bCs/>
          <w:i/>
          <w:iCs/>
          <w:sz w:val="22"/>
        </w:rPr>
      </w:r>
    </w:p>
    <w:p>
      <w:pPr>
        <w:pStyle w:val="Normal"/>
        <w:rPr>
          <w:sz w:val="22"/>
        </w:rPr>
      </w:pPr>
      <w:r>
        <w:rPr>
          <w:sz w:val="22"/>
        </w:rPr>
        <w:t xml:space="preserve">Peoples has now requested that ENA again amend the payment terms solely for gas purchased by PGLC and NS during the month of October by agreeing to the delay of payments in accordance with this proposal letter.  ENA has not agreed to any further delay in the foregoing payments, but, instead, has transferred and assigned the delayed payments, together with all rights of payment and collection, to CommodityLogic ____, a wholly owned subsidiary of Enron Net Works, LLC (“CommodityLogic”).  CommodityLogic, as the owner and holder of the account receivable for the foregoing payments, has agreed to delay of the payments in accordance with Peoples’ request to ENA and the provisions of this proposal letter.  </w:t>
      </w:r>
    </w:p>
    <w:p>
      <w:pPr>
        <w:pStyle w:val="Normal"/>
        <w:rPr>
          <w:sz w:val="22"/>
        </w:rPr>
      </w:pPr>
      <w:r>
        <w:rPr>
          <w:sz w:val="22"/>
        </w:rPr>
      </w:r>
    </w:p>
    <w:p>
      <w:pPr>
        <w:pStyle w:val="Heading1"/>
        <w:ind w:hanging="0" w:start="0"/>
        <w:rPr>
          <w:sz w:val="22"/>
        </w:rPr>
      </w:pPr>
      <w:r>
        <w:rPr>
          <w:sz w:val="22"/>
        </w:rPr>
        <w:t>Current Invoice Amounts</w:t>
      </w:r>
    </w:p>
    <w:p>
      <w:pPr>
        <w:pStyle w:val="Normal"/>
        <w:rPr>
          <w:sz w:val="22"/>
        </w:rPr>
      </w:pPr>
      <w:r>
        <w:rPr>
          <w:sz w:val="22"/>
        </w:rPr>
        <w:t>PGLC and NS invoices, included for reference, were originally due on November 27, 2000 and were in the following amounts:</w:t>
      </w:r>
    </w:p>
    <w:p>
      <w:pPr>
        <w:pStyle w:val="Normal"/>
        <w:rPr>
          <w:sz w:val="22"/>
        </w:rPr>
      </w:pPr>
      <w:r>
        <w:rPr>
          <w:sz w:val="22"/>
        </w:rPr>
      </w:r>
    </w:p>
    <w:p>
      <w:pPr>
        <w:pStyle w:val="Normal"/>
        <w:rPr>
          <w:sz w:val="22"/>
        </w:rPr>
      </w:pPr>
      <w:r>
        <w:rPr>
          <w:sz w:val="22"/>
        </w:rPr>
        <w:t>PGLC</w:t>
        <w:tab/>
        <w:t xml:space="preserve"> </w:t>
        <w:tab/>
        <w:t>$37,235,211.12</w:t>
      </w:r>
    </w:p>
    <w:p>
      <w:pPr>
        <w:pStyle w:val="Normal"/>
        <w:rPr>
          <w:sz w:val="22"/>
        </w:rPr>
      </w:pPr>
      <w:r>
        <w:rPr>
          <w:sz w:val="22"/>
        </w:rPr>
        <w:t>NS</w:t>
        <w:tab/>
        <w:tab/>
      </w:r>
      <w:r>
        <w:rPr>
          <w:sz w:val="22"/>
          <w:u w:val="single"/>
        </w:rPr>
        <w:t>$  6,343,929.33</w:t>
      </w:r>
    </w:p>
    <w:p>
      <w:pPr>
        <w:pStyle w:val="Normal"/>
        <w:rPr>
          <w:sz w:val="22"/>
        </w:rPr>
      </w:pPr>
      <w:r>
        <w:rPr>
          <w:sz w:val="22"/>
        </w:rPr>
        <w:t xml:space="preserve">     </w:t>
      </w:r>
      <w:r>
        <w:rPr>
          <w:sz w:val="22"/>
        </w:rPr>
        <w:t>Total</w:t>
        <w:tab/>
        <w:t>$43,579,140.45</w:t>
      </w:r>
    </w:p>
    <w:p>
      <w:pPr>
        <w:pStyle w:val="Normal"/>
        <w:rPr>
          <w:sz w:val="22"/>
        </w:rPr>
      </w:pPr>
      <w:r>
        <w:rPr>
          <w:sz w:val="22"/>
        </w:rPr>
      </w:r>
    </w:p>
    <w:p>
      <w:pPr>
        <w:pStyle w:val="Normal"/>
        <w:rPr>
          <w:sz w:val="22"/>
        </w:rPr>
      </w:pPr>
      <w:r>
        <w:rPr>
          <w:sz w:val="22"/>
        </w:rPr>
        <w:t>Based upon the terms of the First Amendment Letter, late payment interest which has accrued but has not been paid is currently in the following amounts and shall be added to the above Current Invoice Amounts to reflect the total sum owned to CommodityLogic as of the date of this proposal letter:</w:t>
      </w:r>
    </w:p>
    <w:p>
      <w:pPr>
        <w:pStyle w:val="Normal"/>
        <w:rPr>
          <w:sz w:val="22"/>
        </w:rPr>
      </w:pPr>
      <w:r>
        <w:rPr>
          <w:sz w:val="22"/>
        </w:rPr>
      </w:r>
    </w:p>
    <w:p>
      <w:pPr>
        <w:pStyle w:val="Normal"/>
        <w:rPr>
          <w:sz w:val="22"/>
        </w:rPr>
      </w:pPr>
      <w:r>
        <w:rPr>
          <w:sz w:val="22"/>
        </w:rPr>
        <w:t>PGLC</w:t>
        <w:tab/>
        <w:tab/>
        <w:t>$</w:t>
      </w:r>
    </w:p>
    <w:p>
      <w:pPr>
        <w:pStyle w:val="Normal"/>
        <w:rPr/>
      </w:pPr>
      <w:r>
        <w:rPr>
          <w:sz w:val="22"/>
        </w:rPr>
        <w:t>NS</w:t>
        <w:tab/>
        <w:tab/>
        <w:t>$</w:t>
      </w:r>
      <w:r>
        <w:rPr>
          <w:sz w:val="22"/>
          <w:u w:val="single"/>
        </w:rPr>
        <w:t xml:space="preserve">                      </w:t>
      </w:r>
      <w:r>
        <w:rPr>
          <w:sz w:val="22"/>
        </w:rPr>
        <w:t xml:space="preserve"> </w:t>
      </w:r>
    </w:p>
    <w:p>
      <w:pPr>
        <w:pStyle w:val="Normal"/>
        <w:rPr>
          <w:sz w:val="22"/>
        </w:rPr>
      </w:pPr>
      <w:r>
        <w:rPr>
          <w:sz w:val="22"/>
        </w:rPr>
        <w:t xml:space="preserve">   </w:t>
      </w:r>
      <w:r>
        <w:rPr>
          <w:sz w:val="22"/>
        </w:rPr>
        <w:t>Total</w:t>
        <w:tab/>
        <w:tab/>
        <w:t>$</w:t>
      </w:r>
    </w:p>
    <w:p>
      <w:pPr>
        <w:pStyle w:val="Normal"/>
        <w:rPr>
          <w:sz w:val="22"/>
        </w:rPr>
      </w:pPr>
      <w:r>
        <w:rPr>
          <w:sz w:val="22"/>
        </w:rPr>
        <w:t xml:space="preserve"> </w:t>
      </w:r>
    </w:p>
    <w:p>
      <w:pPr>
        <w:pStyle w:val="Normal"/>
        <w:rPr>
          <w:sz w:val="22"/>
        </w:rPr>
      </w:pPr>
      <w:r>
        <w:rPr>
          <w:sz w:val="22"/>
        </w:rPr>
      </w:r>
    </w:p>
    <w:p>
      <w:pPr>
        <w:pStyle w:val="Normal"/>
        <w:rPr>
          <w:sz w:val="22"/>
        </w:rPr>
      </w:pPr>
      <w:r>
        <w:rPr>
          <w:sz w:val="22"/>
        </w:rPr>
      </w:r>
    </w:p>
    <w:p>
      <w:pPr>
        <w:pStyle w:val="Normal"/>
        <w:rPr>
          <w:sz w:val="22"/>
        </w:rPr>
      </w:pPr>
      <w:r>
        <w:rPr>
          <w:sz w:val="22"/>
        </w:rPr>
        <w:t>Peoples Energy Corp.</w:t>
      </w:r>
    </w:p>
    <w:p>
      <w:pPr>
        <w:pStyle w:val="Normal"/>
        <w:rPr>
          <w:sz w:val="22"/>
        </w:rPr>
      </w:pPr>
      <w:r>
        <w:rPr>
          <w:sz w:val="22"/>
        </w:rPr>
        <w:t>December ___, 2000</w:t>
      </w:r>
    </w:p>
    <w:p>
      <w:pPr>
        <w:pStyle w:val="Normal"/>
        <w:rPr>
          <w:sz w:val="22"/>
        </w:rPr>
      </w:pPr>
      <w:r>
        <w:rPr>
          <w:sz w:val="22"/>
        </w:rPr>
        <w:t>Page 2</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sz w:val="22"/>
        </w:rPr>
      </w:pPr>
      <w:r>
        <w:rPr>
          <w:sz w:val="22"/>
        </w:rPr>
        <w:t>Amended Terms</w:t>
      </w:r>
    </w:p>
    <w:p>
      <w:pPr>
        <w:pStyle w:val="Normal"/>
        <w:rPr>
          <w:sz w:val="22"/>
        </w:rPr>
      </w:pPr>
      <w:r>
        <w:rPr>
          <w:sz w:val="22"/>
        </w:rPr>
        <w:t>PGLC and NS will pay the above referenced invoices (together with the above referenced interest currently due and owning) in full on or before January 26, 2000.  In addition, PGLC and NS will pay Enron a payment interest on overdue amounts in the following amounts:</w:t>
      </w:r>
    </w:p>
    <w:p>
      <w:pPr>
        <w:pStyle w:val="Normal"/>
        <w:rPr>
          <w:sz w:val="22"/>
        </w:rPr>
      </w:pPr>
      <w:r>
        <w:rPr>
          <w:sz w:val="22"/>
        </w:rPr>
      </w:r>
    </w:p>
    <w:p>
      <w:pPr>
        <w:pStyle w:val="Header"/>
        <w:tabs>
          <w:tab w:val="clear" w:pos="4320"/>
          <w:tab w:val="clear" w:pos="8640"/>
        </w:tabs>
        <w:rPr>
          <w:sz w:val="22"/>
        </w:rPr>
      </w:pPr>
      <w:r>
        <w:rPr>
          <w:sz w:val="22"/>
        </w:rPr>
        <w:t>PGLC</w:t>
        <w:tab/>
        <w:tab/>
        <w:t xml:space="preserve">     $</w:t>
      </w:r>
    </w:p>
    <w:p>
      <w:pPr>
        <w:pStyle w:val="Normal"/>
        <w:rPr/>
      </w:pPr>
      <w:r>
        <w:rPr>
          <w:sz w:val="22"/>
        </w:rPr>
        <w:t>NS</w:t>
        <w:tab/>
        <w:tab/>
        <w:t xml:space="preserve">     </w:t>
      </w:r>
      <w:r>
        <w:rPr>
          <w:sz w:val="22"/>
          <w:u w:val="single"/>
        </w:rPr>
        <w:t>$</w:t>
      </w:r>
    </w:p>
    <w:p>
      <w:pPr>
        <w:pStyle w:val="Normal"/>
        <w:rPr>
          <w:sz w:val="22"/>
        </w:rPr>
      </w:pPr>
      <w:r>
        <w:rPr>
          <w:sz w:val="22"/>
        </w:rPr>
        <w:t xml:space="preserve">    </w:t>
      </w:r>
      <w:r>
        <w:rPr>
          <w:sz w:val="22"/>
        </w:rPr>
        <w:t>Total</w:t>
        <w:tab/>
        <w:tab/>
        <w:t xml:space="preserve">     $</w:t>
      </w:r>
    </w:p>
    <w:p>
      <w:pPr>
        <w:pStyle w:val="Normal"/>
        <w:rPr>
          <w:sz w:val="22"/>
        </w:rPr>
      </w:pPr>
      <w:r>
        <w:rPr>
          <w:sz w:val="22"/>
        </w:rPr>
      </w:r>
    </w:p>
    <w:p>
      <w:pPr>
        <w:pStyle w:val="Normal"/>
        <w:rPr>
          <w:sz w:val="22"/>
        </w:rPr>
      </w:pPr>
      <w:r>
        <w:rPr>
          <w:sz w:val="22"/>
        </w:rPr>
        <w:t>The payment interest on overdue amounts is calculated according to the following formula:</w:t>
      </w:r>
    </w:p>
    <w:p>
      <w:pPr>
        <w:pStyle w:val="Normal"/>
        <w:rPr>
          <w:sz w:val="22"/>
        </w:rPr>
      </w:pPr>
      <w:r>
        <w:rPr>
          <w:sz w:val="22"/>
        </w:rPr>
        <w:t xml:space="preserve">(Invoice Amount x .093 x 29 days / 360 days).  </w:t>
      </w:r>
    </w:p>
    <w:p>
      <w:pPr>
        <w:pStyle w:val="Normal"/>
        <w:rPr>
          <w:sz w:val="22"/>
        </w:rPr>
      </w:pPr>
      <w:r>
        <w:rPr>
          <w:sz w:val="22"/>
        </w:rPr>
      </w:r>
    </w:p>
    <w:p>
      <w:pPr>
        <w:pStyle w:val="Normal"/>
        <w:rPr>
          <w:sz w:val="22"/>
        </w:rPr>
      </w:pPr>
      <w:r>
        <w:rPr>
          <w:sz w:val="22"/>
        </w:rPr>
        <w:t>Any amounts that have not been received by January 26, 2000 will be charged late payment interest at an annual rate equal to the Citibank, N.A. prime rate in effect from time to time plus 3.0 percent (300 basis points) times the unpaid amounts for the number of days such amounts remain unpaid.  Any amounts that have not been received by January 31, 2001 will be charged late payment interest at an annual rate equal to the Citibank, N.A. prime rate in effect from time to time plus 10.0 percent (1,000 basis points) times the unpaid amounts for the number of days such amounts remain unpaid.</w:t>
      </w:r>
    </w:p>
    <w:p>
      <w:pPr>
        <w:pStyle w:val="Normal"/>
        <w:rPr>
          <w:sz w:val="22"/>
        </w:rPr>
      </w:pPr>
      <w:r>
        <w:rPr>
          <w:sz w:val="22"/>
        </w:rPr>
      </w:r>
    </w:p>
    <w:p>
      <w:pPr>
        <w:pStyle w:val="Heading2"/>
        <w:ind w:hanging="0" w:start="0"/>
        <w:rPr/>
      </w:pPr>
      <w:r>
        <w:rPr/>
        <w:t>Future Payments</w:t>
      </w:r>
    </w:p>
    <w:p>
      <w:pPr>
        <w:pStyle w:val="Heading2"/>
        <w:ind w:hanging="0" w:start="0"/>
        <w:rPr>
          <w:b w:val="false"/>
          <w:bCs w:val="false"/>
          <w:i w:val="false"/>
          <w:i w:val="false"/>
          <w:iCs w:val="false"/>
        </w:rPr>
      </w:pPr>
      <w:r>
        <w:rPr>
          <w:b w:val="false"/>
          <w:bCs w:val="false"/>
          <w:i w:val="false"/>
          <w:iCs w:val="false"/>
        </w:rPr>
        <w:t>This proposal for amended payment terms only applies to gas purchased by PGLC and NS from ENA during the month of October, 2000.  Gas purchased by PGLC and NS from ENA, or any other affiliate or subsidiary of ENA, in other months remains subject to the existing payment terms under the respective Gas Purchase and Agency Agreements dated September 16, 1999.</w:t>
      </w:r>
    </w:p>
    <w:p>
      <w:pPr>
        <w:pStyle w:val="Normal"/>
        <w:rPr>
          <w:b/>
          <w:bCs/>
          <w:i/>
          <w:i/>
          <w:iCs/>
        </w:rPr>
      </w:pPr>
      <w:r>
        <w:rPr>
          <w:b/>
          <w:bCs/>
          <w:i/>
          <w:iC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2"/>
        </w:rPr>
      </w:pPr>
      <w:r>
        <w:rPr>
          <w:color w:val="000000"/>
          <w:sz w:val="22"/>
        </w:rPr>
        <w:t>It is recognized by Peoples that the delay of payment currently due and owing as set forth in this proposal letter is not intended to create a course of conduct or course of dealing between Peoples and CommodityLogic or, for that matter, ENA, whereby the payment terms of the Gas Purchase and Agency Agreements dated September 16, 1999 are modified or amended or in any manner modified or amended beyond the specific provisions of this proposal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2"/>
        </w:rPr>
      </w:pPr>
      <w:r>
        <w:rPr>
          <w:color w:val="000000"/>
          <w:sz w:val="22"/>
        </w:rPr>
        <w:t xml:space="preserve">All agreements between CommodityLogic and Peoples, PGLC and NS in association with the payments set forth in this proposal letter are hereby limited so that in no contingency, whether by reason of demand for payment or acceleration of the maturity of any sums due or otherwise, shall any interest contracted for, charged or received by CommodityLogic exceed the Maximum Lawful Rate.  If from any circumstance Payee shall ever receive anything of value deemed interest by applicable law in excess of the Maximum Lawful Rate, an amount equal to any excessive interest exceeding the unpaid sum of any amounts due hereunder shall be refunded to Peoples.  All interest paid or agreed to be paid to CommodityLogic, if any, shall, to the extent permitted by applicable law, be amortized, prorated, allocated, and spread throughout the full period until payment in full of any obligation due and owing under this proposal letter so that the interest thereon for such full period shall not exceed the Maximum Lawful Rate.  For purposes of this proposal letter, it is acknowledged that the Maximum Lawful Rate shall be the "indicated rate ceiling", as applicable under the laws of the State of Texas, as amended from time to time; </w:t>
      </w:r>
    </w:p>
    <w:p>
      <w:pPr>
        <w:pStyle w:val="Normal"/>
        <w:rPr>
          <w:sz w:val="22"/>
        </w:rPr>
      </w:pPr>
      <w:r>
        <w:rPr>
          <w:sz w:val="22"/>
        </w:rPr>
        <w:t>Peoples Energy Corp.</w:t>
      </w:r>
    </w:p>
    <w:p>
      <w:pPr>
        <w:pStyle w:val="Normal"/>
        <w:rPr>
          <w:sz w:val="22"/>
        </w:rPr>
      </w:pPr>
      <w:r>
        <w:rPr>
          <w:sz w:val="22"/>
        </w:rPr>
        <w:t>December ___, 2000</w:t>
      </w:r>
    </w:p>
    <w:p>
      <w:pPr>
        <w:pStyle w:val="Normal"/>
        <w:rPr>
          <w:sz w:val="22"/>
        </w:rPr>
      </w:pPr>
      <w:r>
        <w:rPr>
          <w:sz w:val="22"/>
        </w:rPr>
        <w:t>Page 3</w:t>
      </w:r>
    </w:p>
    <w:p>
      <w:pPr>
        <w:pStyle w:val="Normal"/>
        <w:rPr>
          <w:sz w:val="22"/>
        </w:rPr>
      </w:pPr>
      <w:r>
        <w:rPr>
          <w:sz w:val="22"/>
        </w:rPr>
      </w:r>
    </w:p>
    <w:p>
      <w:pPr>
        <w:pStyle w:val="Normal"/>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2"/>
        </w:rPr>
      </w:pPr>
      <w:r>
        <w:rPr>
          <w:color w:val="000000"/>
          <w:sz w:val="22"/>
        </w:rPr>
        <w:t xml:space="preserve">provided, however, that to the extent permitted by applicable law, CommodityLogic may also rely on alternative maximum rates of interest under other applicable laws if such laws permit greater interest.  </w:t>
      </w:r>
    </w:p>
    <w:p>
      <w:pPr>
        <w:pStyle w:val="Normal"/>
        <w:rPr/>
      </w:pPr>
      <w:r>
        <w:rPr/>
        <w:t xml:space="preserve"> </w:t>
      </w:r>
    </w:p>
    <w:p>
      <w:pPr>
        <w:pStyle w:val="Normal"/>
        <w:rPr/>
      </w:pPr>
      <w:r>
        <w:rPr/>
        <w:t>Please indicate your acceptance of these terms and conditions by signing below.</w:t>
      </w:r>
    </w:p>
    <w:p>
      <w:pPr>
        <w:pStyle w:val="Normal"/>
        <w:rPr/>
      </w:pPr>
      <w:r>
        <w:rPr/>
      </w:r>
    </w:p>
    <w:p>
      <w:pPr>
        <w:pStyle w:val="Normal"/>
        <w:rPr/>
      </w:pPr>
      <w:r>
        <w:rPr/>
      </w:r>
    </w:p>
    <w:p>
      <w:pPr>
        <w:pStyle w:val="Normal"/>
        <w:rPr/>
      </w:pPr>
      <w:r>
        <w:rPr/>
        <w:t xml:space="preserve">Sincerely, </w:t>
      </w:r>
    </w:p>
    <w:p>
      <w:pPr>
        <w:pStyle w:val="Normal"/>
        <w:rPr/>
      </w:pPr>
      <w:r>
        <w:rPr/>
      </w:r>
    </w:p>
    <w:p>
      <w:pPr>
        <w:pStyle w:val="Normal"/>
        <w:rPr/>
      </w:pPr>
      <w:r>
        <w:rPr/>
      </w:r>
    </w:p>
    <w:p>
      <w:pPr>
        <w:pStyle w:val="Normal"/>
        <w:rPr/>
      </w:pPr>
      <w:r>
        <w:rPr/>
        <w:t>__________________</w:t>
      </w:r>
    </w:p>
    <w:p>
      <w:pPr>
        <w:pStyle w:val="Normal"/>
        <w:rPr/>
      </w:pPr>
      <w:r>
        <w:rPr/>
        <w:t>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Accepted this _____ day of December, 2000:</w:t>
      </w:r>
    </w:p>
    <w:p>
      <w:pPr>
        <w:pStyle w:val="Normal"/>
        <w:rPr/>
      </w:pPr>
      <w:r>
        <w:rPr/>
      </w:r>
    </w:p>
    <w:p>
      <w:pPr>
        <w:pStyle w:val="Normal"/>
        <w:rPr/>
      </w:pPr>
      <w:r>
        <w:rPr/>
      </w:r>
    </w:p>
    <w:p>
      <w:pPr>
        <w:pStyle w:val="Normal"/>
        <w:rPr/>
      </w:pPr>
      <w:r>
        <w:rPr/>
        <w:t>By:  _____________________________</w:t>
      </w:r>
    </w:p>
    <w:p>
      <w:pPr>
        <w:pStyle w:val="Normal"/>
        <w:rPr/>
      </w:pPr>
      <w:r>
        <w:rPr/>
        <w:tab/>
        <w:t>James Luebbers</w:t>
      </w:r>
    </w:p>
    <w:p>
      <w:pPr>
        <w:pStyle w:val="Normal"/>
        <w:rPr/>
      </w:pPr>
      <w:r>
        <w:rPr/>
        <w:tab/>
        <w:t>Chief Financial Officer</w:t>
        <w:tab/>
      </w:r>
    </w:p>
    <w:p>
      <w:pPr>
        <w:pStyle w:val="Normal"/>
        <w:rPr/>
      </w:pPr>
      <w:r>
        <w:rPr/>
      </w:r>
    </w:p>
    <w:p>
      <w:pPr>
        <w:pStyle w:val="Normal"/>
        <w:rPr/>
      </w:pPr>
      <w:r>
        <w:rPr/>
      </w:r>
    </w:p>
    <w:p>
      <w:pPr>
        <w:pStyle w:val="Normal"/>
        <w:rPr/>
      </w:pPr>
      <w:r>
        <w:rPr/>
      </w:r>
    </w:p>
    <w:p>
      <w:pPr>
        <w:pStyle w:val="Header"/>
        <w:tabs>
          <w:tab w:val="clear" w:pos="4320"/>
          <w:tab w:val="clear" w:pos="8640"/>
        </w:tabs>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sz w:val="20"/>
      </w:rPr>
    </w:pPr>
    <w:r>
      <w:rPr>
        <w:i/>
        <w:sz w:val="20"/>
      </w:rPr>
      <w:t>Confidential</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paragraph" w:styleId="Heading2">
    <w:name w:val="heading 2"/>
    <w:basedOn w:val="Normal"/>
    <w:next w:val="Normal"/>
    <w:qFormat/>
    <w:pPr>
      <w:keepNext w:val="true"/>
      <w:numPr>
        <w:ilvl w:val="1"/>
        <w:numId w:val="1"/>
      </w:numPr>
      <w:outlineLvl w:val="1"/>
    </w:pPr>
    <w:rPr>
      <w:b/>
      <w:bCs/>
      <w:i/>
      <w:iCs/>
      <w:sz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2000-11-22T12:28:00Z</dcterms:created>
  <dc:creator>gpenman</dc:creator>
  <dc:description/>
  <dc:language>en-CA</dc:language>
  <cp:lastModifiedBy>mgreenbe</cp:lastModifiedBy>
  <cp:lastPrinted>2000-11-22T14:56:00Z</cp:lastPrinted>
  <dcterms:modified xsi:type="dcterms:W3CDTF">2000-12-06T13:01:00Z</dcterms:modified>
  <cp:revision>10</cp:revision>
  <dc:subject/>
  <dc:title>Proposed Transaction</dc:title>
</cp:coreProperties>
</file>