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szCs w:val="20"/>
        </w:rPr>
      </w:pPr>
      <w:r>
        <w:rPr>
          <w:sz w:val="20"/>
          <w:szCs w:val="20"/>
        </w:rPr>
      </w:r>
    </w:p>
    <w:p>
      <w:pPr>
        <w:pStyle w:val="Normal"/>
        <w:spacing w:before="0" w:after="0"/>
        <w:jc w:val="center"/>
        <w:rPr>
          <w:b/>
          <w:bCs/>
          <w:u w:val="single"/>
        </w:rPr>
      </w:pPr>
      <w:r>
        <w:rPr>
          <w:b/>
          <w:bCs/>
          <w:u w:val="single"/>
        </w:rPr>
        <w:t>ANNEX TO</w:t>
        <w:br/>
        <w:t>ELECTRONIC SERVICE AGREEMENT</w:t>
      </w:r>
    </w:p>
    <w:p>
      <w:pPr>
        <w:pStyle w:val="Normal"/>
        <w:spacing w:before="0" w:after="0"/>
        <w:jc w:val="center"/>
        <w:rPr>
          <w:b/>
          <w:bCs/>
          <w:u w:val="single"/>
        </w:rPr>
      </w:pPr>
      <w:r>
        <w:rPr>
          <w:b/>
          <w:bCs/>
          <w:u w:val="single"/>
        </w:rPr>
        <w:t>FOR</w:t>
      </w:r>
    </w:p>
    <w:p>
      <w:pPr>
        <w:pStyle w:val="Normal"/>
        <w:spacing w:before="0" w:after="0"/>
        <w:jc w:val="center"/>
        <w:rPr>
          <w:b/>
          <w:bCs/>
          <w:u w:val="single"/>
        </w:rPr>
      </w:pPr>
      <w:r>
        <w:rPr>
          <w:b/>
          <w:bCs/>
          <w:u w:val="single"/>
        </w:rPr>
        <w:t>INVOICELOGIC MODULE</w:t>
      </w:r>
    </w:p>
    <w:p>
      <w:pPr>
        <w:pStyle w:val="Normal"/>
        <w:spacing w:before="0" w:after="0"/>
        <w:jc w:val="center"/>
        <w:rPr>
          <w:b/>
          <w:bCs/>
          <w:u w:val="single"/>
        </w:rPr>
      </w:pPr>
      <w:r>
        <w:rPr>
          <w:b/>
          <w:bCs/>
          <w:u w:val="single"/>
        </w:rPr>
      </w:r>
    </w:p>
    <w:p>
      <w:pPr>
        <w:pStyle w:val="Normal"/>
        <w:ind w:firstLine="720" w:end="0"/>
        <w:jc w:val="both"/>
        <w:rPr/>
      </w:pPr>
      <w:r>
        <w:rPr/>
        <w:t>This Annex to Electronic Service Agreement for InvoiceLogic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InvoiceLogic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jc w:val="both"/>
        <w:rPr>
          <w:b/>
          <w:bCs/>
        </w:rPr>
      </w:pPr>
      <w:r>
        <w:rPr>
          <w:b/>
          <w:bCs/>
        </w:rPr>
      </w:r>
    </w:p>
    <w:p>
      <w:pPr>
        <w:pStyle w:val="Normal"/>
        <w:jc w:val="both"/>
        <w:rPr/>
      </w:pPr>
      <w:r>
        <w:rPr>
          <w:b/>
          <w:bCs/>
        </w:rPr>
        <w:t>2.</w:t>
        <w:tab/>
      </w:r>
      <w:r>
        <w:rPr>
          <w:b/>
          <w:bCs/>
          <w:u w:val="single"/>
        </w:rPr>
        <w:t>COMMODITY TRANSACTION INFORMATION/COMMODITY DETAIL INFORMATION.</w:t>
      </w:r>
    </w:p>
    <w:p>
      <w:pPr>
        <w:pStyle w:val="Normal"/>
        <w:ind w:firstLine="720" w:end="0"/>
        <w:jc w:val="both"/>
        <w:rPr/>
      </w:pPr>
      <w:r>
        <w:rPr/>
        <w:t>(a)  For purposes of this Annex and the Module, "</w:t>
      </w:r>
      <w:r>
        <w:rPr>
          <w:u w:val="single"/>
        </w:rPr>
        <w:t>Commodity Detail Information</w:t>
      </w:r>
      <w:r>
        <w:rPr/>
        <w:t>" shall mean and refer to the information and/or data to be posted to the Module by User and its Counterparty which may include, but not necessarily be limited to, point of delivery information for a commodity purchased/sold, point of sale information for a commodity sold/purchased, contract/agreement numbers matching the point of sale to the point of delivery and other information specific to the form or method of delivery/transport of the purchased/sold commodity.</w:t>
      </w:r>
    </w:p>
    <w:p>
      <w:pPr>
        <w:pStyle w:val="Normal"/>
        <w:ind w:firstLine="720" w:end="0"/>
        <w:jc w:val="both"/>
        <w:rPr/>
      </w:pPr>
      <w:r>
        <w:rPr/>
        <w:t>(b) For purposes of this Annex and the Module, "</w:t>
      </w:r>
      <w:r>
        <w:rPr>
          <w:u w:val="single"/>
        </w:rPr>
        <w:t>Commodity Transaction Information</w:t>
      </w:r>
      <w:r>
        <w:rPr/>
        <w:t>" shall mean and refer to the information and/or data to be posted to the Module by User and its Counterparty which may include, but not necessarily be limited to, the name of the User and its Counterparty, the type and volume of commodity being purchased/sold, the index against which the Commodity Transactions reflected on any invoice are to be settled, the term start date and end date, the settlement period, the invoice number, invoice date and invoice due date.</w:t>
      </w:r>
    </w:p>
    <w:p>
      <w:pPr>
        <w:pStyle w:val="Normal"/>
        <w:ind w:firstLine="720" w:end="0"/>
        <w:jc w:val="both"/>
        <w:rPr/>
      </w:pPr>
      <w:r>
        <w:rPr/>
        <w:t>(c)  Commodity Transaction Information and Commodity Detail Information shall, unless otherwise indicated to the contrary elsewhere in this Annex, be collectively referred to as the "</w:t>
      </w:r>
      <w:r>
        <w:rPr>
          <w:u w:val="single"/>
        </w:rPr>
        <w:t>Commodity Information</w:t>
      </w:r>
      <w:r>
        <w:rPr/>
        <w:t xml:space="preserve">."  </w:t>
      </w:r>
    </w:p>
    <w:p>
      <w:pPr>
        <w:pStyle w:val="Normal"/>
        <w:jc w:val="both"/>
        <w:rPr>
          <w:b/>
          <w:bCs/>
        </w:rPr>
      </w:pPr>
      <w:r>
        <w:rPr>
          <w:b/>
          <w:bCs/>
        </w:rPr>
      </w:r>
    </w:p>
    <w:p>
      <w:pPr>
        <w:pStyle w:val="Normal"/>
        <w:jc w:val="both"/>
        <w:rPr/>
      </w:pPr>
      <w:r>
        <w:rPr>
          <w:b/>
          <w:bCs/>
        </w:rPr>
        <w:t>3.</w:t>
        <w:tab/>
      </w:r>
      <w:r>
        <w:rPr>
          <w:b/>
          <w:bCs/>
          <w:u w:val="single"/>
        </w:rPr>
        <w:t>PROCEDURES FOR LOADING COMMODITY INFORMATION.</w:t>
      </w:r>
      <w:r>
        <w:rPr/>
        <w:t xml:space="preserve">   </w:t>
      </w:r>
    </w:p>
    <w:p>
      <w:pPr>
        <w:pStyle w:val="Normal"/>
        <w:ind w:firstLine="720" w:end="0"/>
        <w:jc w:val="both"/>
        <w:rPr/>
      </w:pPr>
      <w:r>
        <w:rPr/>
        <w:t>(a)</w:t>
        <w:tab/>
        <w:t>User will be able to access the Website and the Module for purposes of loading, reviewing and confirming Commodity Information associated with each of the Commodity Transactions which would normally be reflected in either a paper or electronic invoice used for purposes of settling each of the Commodity Transactions.</w:t>
      </w:r>
    </w:p>
    <w:p>
      <w:pPr>
        <w:pStyle w:val="Normal"/>
        <w:ind w:firstLine="720" w:end="0"/>
        <w:jc w:val="both"/>
        <w:rPr/>
      </w:pPr>
      <w:r>
        <w:rPr/>
        <w:t>(b)  Following the completion of a Commodity Transaction, the price for or index against which that particular Commodity Transaction is based will be published in a manner and by methods commonly known within the industry applicable to the particular commodity or pursuant to the provisions of the Other Agreements ("</w:t>
      </w:r>
      <w:r>
        <w:rPr>
          <w:u w:val="single"/>
        </w:rPr>
        <w:t>Index Publication</w:t>
      </w:r>
      <w:r>
        <w:rPr/>
        <w:t xml:space="preserve">").  After Index Publication occurs, User will have access to the Website and Module for purposes of loading Commodity Information into a database maintained by CommodityLogic to be subsequently posted to the Module and used to accomplish certain electronic “mid and back office” operations, thereby enabling User or its Counterparty to prepare financial invoices associated with the Commodity Transactions for which the Commodity Information has been loaded.  </w:t>
      </w:r>
      <w:r>
        <w:rPr>
          <w:b/>
          <w:bCs/>
          <w:u w:val="single"/>
        </w:rPr>
        <w:t>It is understood, however, that neither the Website nor the Module are to be used for and are not intended to be used for the actual payment of any invoices for which Commodity Information is posted within the Module.</w:t>
      </w:r>
      <w:r>
        <w:rPr>
          <w:b/>
          <w:bCs/>
        </w:rPr>
        <w:t xml:space="preserve"> </w:t>
      </w:r>
      <w:r>
        <w:rPr/>
        <w:t xml:space="preserve">The Commodity Information may be loaded by User for individual Commodity Transactions or for numerous Commodity Transactions having as a common element the commodity forming the basis of the Commodity Transaction.  </w:t>
      </w:r>
    </w:p>
    <w:p>
      <w:pPr>
        <w:pStyle w:val="Normal"/>
        <w:ind w:firstLine="720" w:end="0"/>
        <w:jc w:val="both"/>
        <w:rPr/>
      </w:pPr>
      <w:r>
        <w:rPr/>
        <w:t xml:space="preserve">(c)  Once the Commodity Information is loaded by User, it will be posted within the Module for the purpose of both User and its Counterparty being able to review, query and/or accept the Commodity Information for each Commodity Transaction identified within the Module; </w:t>
      </w:r>
      <w:r>
        <w:rPr>
          <w:u w:val="single"/>
        </w:rPr>
        <w:t>provided, however</w:t>
      </w:r>
      <w:r>
        <w:rPr/>
        <w:t>, both User and its Counterparty will only be allowed to query, modify or accept the Commodity Information loaded into the Module by that party or on that party’s behalf.</w:t>
      </w:r>
    </w:p>
    <w:p>
      <w:pPr>
        <w:pStyle w:val="Normal"/>
        <w:jc w:val="both"/>
        <w:rPr>
          <w:b/>
          <w:bCs/>
        </w:rPr>
      </w:pPr>
      <w:r>
        <w:rPr>
          <w:b/>
          <w:bCs/>
        </w:rPr>
      </w:r>
    </w:p>
    <w:p>
      <w:pPr>
        <w:pStyle w:val="Normal"/>
        <w:jc w:val="both"/>
        <w:rPr>
          <w:b/>
          <w:bCs/>
        </w:rPr>
      </w:pPr>
      <w:r>
        <w:rPr>
          <w:b/>
          <w:bCs/>
        </w:rPr>
      </w:r>
    </w:p>
    <w:p>
      <w:pPr>
        <w:pStyle w:val="Normal"/>
        <w:jc w:val="both"/>
        <w:rPr/>
      </w:pPr>
      <w:r>
        <w:rPr>
          <w:b/>
          <w:bCs/>
        </w:rPr>
        <w:t>4.</w:t>
        <w:tab/>
      </w:r>
      <w:r>
        <w:rPr>
          <w:b/>
          <w:bCs/>
          <w:u w:val="single"/>
        </w:rPr>
        <w:t>MANAGEMENT OF COMMODITY INFORMATION - PAIRING.</w:t>
      </w:r>
      <w:r>
        <w:rPr/>
        <w:t xml:space="preserve">   </w:t>
      </w:r>
    </w:p>
    <w:p>
      <w:pPr>
        <w:pStyle w:val="Normal"/>
        <w:ind w:firstLine="720" w:end="0"/>
        <w:jc w:val="both"/>
        <w:rPr/>
      </w:pPr>
      <w:r>
        <w:rPr/>
        <w:t>(a)</w:t>
        <w:tab/>
        <w:t>Once User's Commodity Information is loaded into the Module, it is automatically paired with other Commodity Information loaded into the Module by the User’s Counterparty to the particular Commodity Transaction or group of Commodity Transactions.  The automatic pairing function is programmed to instantly review the Commodity Transaction Information and, by electronically cross-checking certain pre-determined fields of information within the Commodity Transaction Information loaded by User with the Commodity Transaction Information loaded by User’s Counterparty to the Commodity Transaction, the Module will instantly pair the Commodity Transaction Information loaded by both User and its Counterparty.  Once the particular Commodity Transaction Information from both parties is paired, that particular Commodity Transaction Information will be identified by the Module as a "</w:t>
      </w:r>
      <w:r>
        <w:rPr>
          <w:u w:val="single"/>
        </w:rPr>
        <w:t>Paired Trade</w:t>
      </w:r>
      <w:r>
        <w:rPr/>
        <w:t xml:space="preserve">" and automatically placed within the area of the Module in which the automatic matching function set forth in Section 5 can be performed.  </w:t>
      </w:r>
    </w:p>
    <w:p>
      <w:pPr>
        <w:pStyle w:val="Normal"/>
        <w:ind w:firstLine="720" w:end="0"/>
        <w:jc w:val="both"/>
        <w:rPr/>
      </w:pPr>
      <w:r>
        <w:rPr/>
        <w:t>(b)  Any Commodity Transaction Information not paired through the automatic pairing feature of the Module will be identified within the Module as an "</w:t>
      </w:r>
      <w:r>
        <w:rPr>
          <w:u w:val="single"/>
        </w:rPr>
        <w:t>Unpaired Trade</w:t>
      </w:r>
      <w:r>
        <w:rPr/>
        <w:t xml:space="preserve">" and will be placed within the Unpaired Trade area of the Module.  The applicable Commodity Transaction Information will retain the status of an Unpaired Trade until such time as corresponding Commodity Information capable of being paired within the Module has been loaded into CommodityLogic's database, posted to the Module and paired automatically within the Module.  The Module does not provide for the manual pairing of Commodity Transaction Information by User or its Counterparty.  </w:t>
      </w:r>
    </w:p>
    <w:p>
      <w:pPr>
        <w:pStyle w:val="Normal"/>
        <w:ind w:firstLine="720" w:end="0"/>
        <w:jc w:val="both"/>
        <w:rPr/>
      </w:pPr>
      <w:r>
        <w:rPr/>
        <w:t xml:space="preserve"> </w:t>
      </w:r>
    </w:p>
    <w:p>
      <w:pPr>
        <w:pStyle w:val="Normal"/>
        <w:jc w:val="both"/>
        <w:rPr/>
      </w:pPr>
      <w:r>
        <w:rPr>
          <w:b/>
          <w:bCs/>
        </w:rPr>
        <w:t>5.</w:t>
        <w:tab/>
      </w:r>
      <w:r>
        <w:rPr>
          <w:b/>
          <w:bCs/>
          <w:u w:val="single"/>
        </w:rPr>
        <w:t>MANAGEMENT OF COMMODITY INFORMATION - MATCHING.</w:t>
      </w:r>
      <w:r>
        <w:rPr/>
        <w:t xml:space="preserve">   </w:t>
      </w:r>
    </w:p>
    <w:p>
      <w:pPr>
        <w:pStyle w:val="Normal"/>
        <w:ind w:firstLine="720" w:end="0"/>
        <w:jc w:val="both"/>
        <w:rPr/>
      </w:pPr>
      <w:r>
        <w:rPr/>
        <w:t>(a)  Once User's Commodity Information is designated within the Module as a Paired Invoice,  it is automatically matched with Commodity Detail Information  loaded into the Module by both User and its Counterparty.  The automatic matching function is programmed to instantly review the Commodity Detail Information and, by electronically cross-checking certain pre-determined fields of information within the Commodity Detail Information loaded by User with the Commodity Detail Information loaded by User’s Counterparty to the Commodity Transaction, the Module will instantly match the Commodity Detail Information loaded by both User and its Counterparty.  Once the particular Commodity Detail Information from both parties is matched, that particular Commodity Detail Information will be reflected within the Module as a "</w:t>
      </w:r>
      <w:r>
        <w:rPr>
          <w:u w:val="single"/>
        </w:rPr>
        <w:t>Matched Trade</w:t>
      </w:r>
      <w:r>
        <w:rPr/>
        <w:t xml:space="preserve">" and placed within the Matched Trades area of the Module.   </w:t>
      </w:r>
    </w:p>
    <w:p>
      <w:pPr>
        <w:pStyle w:val="Normal"/>
        <w:ind w:firstLine="720" w:end="0"/>
        <w:jc w:val="both"/>
        <w:rPr/>
      </w:pPr>
      <w:r>
        <w:rPr/>
        <w:t>(b)  Any Commodity Detail Information not matched through the automatic matching feature of the Module will be identified within the Module as an "</w:t>
      </w:r>
      <w:r>
        <w:rPr>
          <w:u w:val="single"/>
        </w:rPr>
        <w:t>Unmatched Trade</w:t>
      </w:r>
      <w:r>
        <w:rPr/>
        <w:t>" and will be placed within the Unmatched Trade area of the Module and reflected, within the Module, on the Reconcile Screen.  The applicable Commodity Detail Information will retain the status of an Unmatched Trade until Commodity Detail Information matching the unmatched Commodity Detail Information is loaded by either User or its Counterparty to the Commodity Transaction and matched, either automatically or manually, within the Module.</w:t>
      </w:r>
    </w:p>
    <w:p>
      <w:pPr>
        <w:pStyle w:val="Normal"/>
        <w:ind w:firstLine="720" w:end="0"/>
        <w:jc w:val="both"/>
        <w:rPr/>
      </w:pPr>
      <w:r>
        <w:rPr/>
        <w:t>(c)  At such time as Commodity Detail Information complementary to the  Commodity Detail Information identified as an Unpaired Trade is loaded into the Module, both User and its Counterparty may access the Module to review and manually match the Commodity Detail Information associated with the Unmatched Trade by reconciling the Commodity Detail Information of both parties.  User will be able to review and compare, but not modify, its Counterparty's Commodity Detail Information with its Commodity Detail Information.  If User finds a discrepancy between its Commodity Detail Information and its Counterparty’s Commodity Detail Information for a Commodity Transaction or group of Commodity Transactions, User shall note the discrepancy within the Module, which notation shall be viewable by its Counterparty.  Until the discrepancy between the two sets of Commodity Detail Information is satisfied and they have been reconciled, the User shall identify its Commodity Detail Information to be "</w:t>
      </w:r>
      <w:r>
        <w:rPr>
          <w:u w:val="single"/>
        </w:rPr>
        <w:t>In Progress</w:t>
      </w:r>
      <w:r>
        <w:rPr/>
        <w:t>".  Any discrepancy between two sets of Commodity Detail Information for a particular Commodity Transaction or group of Commodity Transactions may be satisfied by either User or its Counterparty loading modified, revised or amended Commodity Detail Information so that both party's Commodity Detail Information can be matched, either automatically or manually within the Module.</w:t>
      </w:r>
    </w:p>
    <w:p>
      <w:pPr>
        <w:pStyle w:val="Normal"/>
        <w:ind w:firstLine="720" w:end="0"/>
        <w:jc w:val="both"/>
        <w:rPr/>
      </w:pPr>
      <w:r>
        <w:rPr/>
        <w:t>(d)  Whether User’s Commodity Detail Information has been automatically matched or matched manually by User, at such time as User has completed its review of the Commodity Detail Information, including the completion of any queries to existing Commodity Detail Information or the loading of revised, modified or amended Commodity Detail Information, User will identify its Commodity Detail Information to be Complete by clicking on the appropriate area within the Module.  Thereafter, User’s Commodity Information for the particular Commodity Transaction or group of Commodity Transactions will be identified within the Module as "</w:t>
      </w:r>
      <w:r>
        <w:rPr>
          <w:u w:val="single"/>
        </w:rPr>
        <w:t>Complete</w:t>
      </w:r>
      <w:r>
        <w:rPr/>
        <w:t>".  Once the Commodity Information of both parties to a particular Commodity Transaction or group of Commodity Transactions has been identified by both parties within the Module as Complete, the Module will automatically re-identify the applicable Commodity Information of each party to the status of "</w:t>
      </w:r>
      <w:r>
        <w:rPr>
          <w:u w:val="single"/>
        </w:rPr>
        <w:t>Final</w:t>
      </w:r>
      <w:r>
        <w:rPr/>
        <w:t>".</w:t>
      </w:r>
    </w:p>
    <w:p>
      <w:pPr>
        <w:pStyle w:val="Normal"/>
        <w:ind w:firstLine="720" w:end="0"/>
        <w:jc w:val="both"/>
        <w:rPr/>
      </w:pPr>
      <w:r>
        <w:rPr/>
        <w:t xml:space="preserve">(e)  User may, in its review of the Matched Trades, determine that the Commodity Information associated with a particular Commodity Transaction or group of Commodity Transactions reflected within the Matched Trades area of the Module is/are not accurate, complete or otherwise incorrect.  In such circumstances, User shall have the ability by clicking on the appropriate button with in the Module, to cause the applicable Commodity Transaction or group of Commodity Transactions to be reclassified within the Module as Unmatched Trades and moved to the Reconcile Screen within the Module.  In the forgoing event, the Commodity Information for the applicable Commodity Transaction or group of Commodity Transactions will be subject to the actions outlined in paragraphs (b), (c) and (d) above.   </w:t>
      </w:r>
    </w:p>
    <w:p>
      <w:pPr>
        <w:pStyle w:val="Normal"/>
        <w:jc w:val="both"/>
        <w:rPr>
          <w:b/>
          <w:bCs/>
        </w:rPr>
      </w:pPr>
      <w:r>
        <w:rPr>
          <w:b/>
          <w:bCs/>
        </w:rPr>
        <w:t>6.</w:t>
        <w:tab/>
      </w:r>
      <w:r>
        <w:rPr>
          <w:b/>
          <w:bCs/>
          <w:u w:val="single"/>
        </w:rPr>
        <w:t>REVIEW PERIOD.</w:t>
      </w:r>
    </w:p>
    <w:p>
      <w:pPr>
        <w:pStyle w:val="Normal"/>
        <w:ind w:firstLine="720" w:end="0"/>
        <w:jc w:val="both"/>
        <w:rPr/>
      </w:pPr>
      <w:r>
        <w:rPr/>
        <w:t>Commodity Information for each of the Commodity Transactions will remain displayed within Unpaired Trade, Matched Trades and Unmatched Trade (Reconcile Screen) areas of the Module for a period of ______________ (__) [hours] [days] from the date the Commodity Information associated with each particular Commodity Transaction has been loaded into the Module by either or both parties to the particular Commodity Transaction or group of Commodity Transactions (the “</w:t>
      </w:r>
      <w:r>
        <w:rPr>
          <w:u w:val="single"/>
        </w:rPr>
        <w:t>Review Period</w:t>
      </w:r>
      <w:r>
        <w:rPr/>
        <w:t xml:space="preserve">”).  At the end of the Review Period, the Commodity Information for a particular Commodity Transaction or group of Commodity Transactions if located within the Unpaired Trade, Matched Trades, or Unmatched Trade (Reconcile Screen) areas of the Module, will be deemed to have expired and will thereafter retain its then current identification.     </w:t>
      </w:r>
    </w:p>
    <w:p>
      <w:pPr>
        <w:pStyle w:val="Normal"/>
        <w:jc w:val="both"/>
        <w:rPr/>
      </w:pPr>
      <w:r>
        <w:rPr/>
      </w:r>
    </w:p>
    <w:p>
      <w:pPr>
        <w:pStyle w:val="Normal"/>
        <w:spacing w:before="100" w:after="100"/>
        <w:jc w:val="both"/>
        <w:rPr/>
      </w:pP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2406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40665"/>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bCs/>
        <w:sz w:val="20"/>
        <w:szCs w:val="20"/>
        <w:u w:val="single"/>
      </w:rPr>
    </w:pPr>
    <w:r>
      <w:rPr>
        <w:b/>
        <w:bCs/>
        <w:sz w:val="20"/>
        <w:szCs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bCs/>
        <w:sz w:val="20"/>
        <w:szCs w:val="20"/>
        <w:u w:val="single"/>
      </w:rPr>
    </w:pPr>
    <w:r>
      <w:rPr>
        <w:b/>
        <w:bCs/>
        <w:sz w:val="20"/>
        <w:szCs w:val="20"/>
        <w:u w:val="single"/>
      </w:rPr>
      <w:t>2/14/01 CLEAN DRAFT</w:t>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Definition">
    <w:name w:val="Definition"/>
    <w:qFormat/>
    <w:rPr>
      <w:i/>
      <w:iCs/>
    </w:rPr>
  </w:style>
  <w:style w:type="character" w:styleId="CITE">
    <w:name w:val="CITE"/>
    <w:qFormat/>
    <w:rPr>
      <w:i/>
      <w:iCs/>
    </w:rPr>
  </w:style>
  <w:style w:type="character" w:styleId="CODE">
    <w:name w:val="CODE"/>
    <w:qFormat/>
    <w:rPr>
      <w:rFonts w:ascii="Courier New" w:hAnsi="Courier New" w:eastAsia="Courier New" w:cs="Courier New"/>
      <w:sz w:val="20"/>
      <w:szCs w:val="20"/>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character" w:styleId="Keyboard">
    <w:name w:val="Keyboard"/>
    <w:qFormat/>
    <w:rPr>
      <w:rFonts w:ascii="Courier New" w:hAnsi="Courier New" w:eastAsia="Courier New" w:cs="Courier New"/>
      <w:b/>
      <w:bCs/>
      <w:sz w:val="20"/>
      <w:szCs w:val="20"/>
    </w:rPr>
  </w:style>
  <w:style w:type="character" w:styleId="Sample">
    <w:name w:val="Sample"/>
    <w:qFormat/>
    <w:rPr>
      <w:rFonts w:ascii="Courier New" w:hAnsi="Courier New" w:eastAsia="Courier New" w:cs="Courier New"/>
    </w:rPr>
  </w:style>
  <w:style w:type="character" w:styleId="Strong">
    <w:name w:val="Strong"/>
    <w:basedOn w:val="DefaultParagraphFont"/>
    <w:qFormat/>
    <w:rPr>
      <w:b/>
      <w:bCs/>
    </w:rPr>
  </w:style>
  <w:style w:type="character" w:styleId="Typewriter">
    <w:name w:val="Typewriter"/>
    <w:qFormat/>
    <w:rPr>
      <w:rFonts w:ascii="Courier New" w:hAnsi="Courier New" w:eastAsia="Courier New" w:cs="Courier New"/>
      <w:sz w:val="20"/>
      <w:szCs w:val="20"/>
    </w:rPr>
  </w:style>
  <w:style w:type="character" w:styleId="Variable">
    <w:name w:val="Variable"/>
    <w:qFormat/>
    <w:rPr>
      <w:i/>
      <w:iCs/>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eastAsia="Courier New" w:cs="Courier New"/>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pPr>
    <w:rPr>
      <w:b/>
      <w:bCs/>
      <w:kern w:val="2"/>
      <w:sz w:val="48"/>
      <w:szCs w:val="48"/>
    </w:rPr>
  </w:style>
  <w:style w:type="paragraph" w:styleId="H2">
    <w:name w:val="H2"/>
    <w:basedOn w:val="Normal"/>
    <w:next w:val="Normal"/>
    <w:qFormat/>
    <w:pPr>
      <w:keepNext w:val="true"/>
    </w:pPr>
    <w:rPr>
      <w:b/>
      <w:bCs/>
      <w:sz w:val="36"/>
      <w:szCs w:val="36"/>
    </w:rPr>
  </w:style>
  <w:style w:type="paragraph" w:styleId="H3">
    <w:name w:val="H3"/>
    <w:basedOn w:val="Normal"/>
    <w:next w:val="Normal"/>
    <w:qFormat/>
    <w:pPr>
      <w:keepNext w:val="true"/>
    </w:pPr>
    <w:rPr>
      <w:b/>
      <w:bCs/>
      <w:sz w:val="28"/>
      <w:szCs w:val="28"/>
    </w:rPr>
  </w:style>
  <w:style w:type="paragraph" w:styleId="H4">
    <w:name w:val="H4"/>
    <w:basedOn w:val="Normal"/>
    <w:next w:val="Normal"/>
    <w:qFormat/>
    <w:pPr>
      <w:keepNext w:val="true"/>
    </w:pPr>
    <w:rPr>
      <w:b/>
      <w:bCs/>
    </w:rPr>
  </w:style>
  <w:style w:type="paragraph" w:styleId="H5">
    <w:name w:val="H5"/>
    <w:basedOn w:val="Normal"/>
    <w:next w:val="Normal"/>
    <w:qFormat/>
    <w:pPr>
      <w:keepNext w:val="true"/>
    </w:pPr>
    <w:rPr>
      <w:b/>
      <w:bCs/>
      <w:sz w:val="20"/>
      <w:szCs w:val="20"/>
    </w:rPr>
  </w:style>
  <w:style w:type="paragraph" w:styleId="H6">
    <w:name w:val="H6"/>
    <w:basedOn w:val="Normal"/>
    <w:next w:val="Normal"/>
    <w:qFormat/>
    <w:pPr>
      <w:keepNext w:val="true"/>
    </w:pPr>
    <w:rPr>
      <w:b/>
      <w:bCs/>
      <w:sz w:val="16"/>
      <w:szCs w:val="16"/>
    </w:rPr>
  </w:style>
  <w:style w:type="paragraph" w:styleId="Address">
    <w:name w:val="Address"/>
    <w:basedOn w:val="Normal"/>
    <w:next w:val="Normal"/>
    <w:qFormat/>
    <w:pPr>
      <w:spacing w:before="0" w:after="0"/>
    </w:pPr>
    <w:rPr>
      <w:i/>
      <w:iCs/>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eastAsia="Courier New" w:cs="Courier New"/>
      <w:sz w:val="20"/>
      <w:szCs w:val="20"/>
    </w:rPr>
  </w:style>
  <w:style w:type="paragraph" w:styleId="HTMLBottomofForm">
    <w:name w:val="HTML Bottom of Form"/>
    <w:next w:val="Normal"/>
    <w:qFormat/>
    <w:pPr>
      <w:widowControl w:val="false"/>
      <w:pBdr>
        <w:top w:val="double" w:sz="6" w:space="0" w:color="000000"/>
      </w:pBdr>
      <w:bidi w:val="0"/>
      <w:jc w:val="center"/>
    </w:pPr>
    <w:rPr>
      <w:rFonts w:ascii="Arial" w:hAnsi="Arial" w:eastAsia="Arial" w:cs="Arial"/>
      <w:vanish/>
      <w:color w:val="auto"/>
      <w:sz w:val="16"/>
      <w:szCs w:val="16"/>
      <w:lang w:val="en-US" w:eastAsia="zh-CN" w:bidi="hi-IN"/>
    </w:rPr>
  </w:style>
  <w:style w:type="paragraph" w:styleId="HTMLTopofForm">
    <w:name w:val="HTML Top of Form"/>
    <w:next w:val="Normal"/>
    <w:qFormat/>
    <w:pPr>
      <w:widowControl w:val="false"/>
      <w:pBdr>
        <w:bottom w:val="double" w:sz="6" w:space="0" w:color="000000"/>
      </w:pBdr>
      <w:bidi w:val="0"/>
      <w:jc w:val="center"/>
    </w:pPr>
    <w:rPr>
      <w:rFonts w:ascii="Arial" w:hAnsi="Arial" w:eastAsia="Arial" w:cs="Arial"/>
      <w:vanish/>
      <w:color w:val="auto"/>
      <w:sz w:val="16"/>
      <w:szCs w:val="16"/>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BodyTextIndent2">
    <w:name w:val="Body Text Indent 2"/>
    <w:basedOn w:val="Normal"/>
    <w:qFormat/>
    <w:pPr>
      <w:widowControl/>
      <w:spacing w:before="0" w:after="0"/>
      <w:ind w:firstLine="720" w:start="0" w:end="0"/>
    </w:pPr>
    <w:rPr>
      <w:color w:val="000000"/>
    </w:rPr>
  </w:style>
  <w:style w:type="paragraph" w:styleId="BodyTextIndent3">
    <w:name w:val="Body Text Indent 3"/>
    <w:basedOn w:val="Normal"/>
    <w:qFormat/>
    <w:pPr>
      <w:widowControl/>
      <w:spacing w:before="0" w:after="0"/>
      <w:ind w:hanging="720" w:start="720" w:end="0"/>
      <w:jc w:val="both"/>
    </w:pPr>
    <w:rPr>
      <w:color w:val="000000"/>
    </w:rPr>
  </w:style>
  <w:style w:type="paragraph" w:styleId="BodyText2">
    <w:name w:val="Body Text 2"/>
    <w:basedOn w:val="Normal"/>
    <w:qFormat/>
    <w:pPr>
      <w:widowControl/>
      <w:spacing w:before="0" w:after="0"/>
      <w:ind w:hanging="0" w:start="72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2001-02-14T13:25:00Z</dcterms:created>
  <dc:creator>Alan B. Aronowitz</dc:creator>
  <dc:description/>
  <dc:language>en-CA</dc:language>
  <cp:lastModifiedBy>mgreenbe</cp:lastModifiedBy>
  <cp:lastPrinted>2000-11-19T16:51:00Z</cp:lastPrinted>
  <dcterms:modified xsi:type="dcterms:W3CDTF">2001-02-14T13:26:00Z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