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jc w:val="both"/>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sz w:val="28"/>
        </w:rPr>
        <w:t>LITIGATION UNIT</w:t>
      </w:r>
    </w:p>
    <w:p>
      <w:pPr>
        <w:pStyle w:val="Normal"/>
        <w:rPr>
          <w:sz w:val="28"/>
          <w:u w:val="single"/>
        </w:rPr>
      </w:pPr>
      <w:r>
        <w:rPr>
          <w:sz w:val="28"/>
          <w:u w:val="single"/>
        </w:rPr>
      </w:r>
    </w:p>
    <w:p>
      <w:pPr>
        <w:pStyle w:val="Normal"/>
        <w:jc w:val="center"/>
        <w:rPr>
          <w:u w:val="single"/>
        </w:rPr>
      </w:pPr>
      <w:r>
        <w:rPr>
          <w:u w:val="single"/>
        </w:rPr>
        <w:t>M E M O R A N D U M</w:t>
      </w:r>
    </w:p>
    <w:p>
      <w:pPr>
        <w:pStyle w:val="Normal"/>
        <w:jc w:val="both"/>
        <w:rPr/>
      </w:pPr>
      <w:r>
        <w:rPr/>
      </w:r>
    </w:p>
    <w:p>
      <w:pPr>
        <w:pStyle w:val="Normal"/>
        <w:jc w:val="both"/>
        <w:rPr/>
      </w:pPr>
      <w:r>
        <w:rPr/>
        <w:t>TO:</w:t>
        <w:tab/>
        <w:tab/>
        <w:t>All Enron Attorneys and Legal Assistants</w:t>
      </w:r>
    </w:p>
    <w:p>
      <w:pPr>
        <w:pStyle w:val="Normal"/>
        <w:jc w:val="both"/>
        <w:rPr/>
      </w:pPr>
      <w:r>
        <w:rPr/>
      </w:r>
    </w:p>
    <w:p>
      <w:pPr>
        <w:pStyle w:val="Normal"/>
        <w:jc w:val="both"/>
        <w:rPr/>
      </w:pPr>
      <w:r>
        <w:rPr/>
        <w:t>FROM:</w:t>
        <w:tab/>
        <w:t>Enron 2000 Law Conference Committee</w:t>
      </w:r>
    </w:p>
    <w:p>
      <w:pPr>
        <w:pStyle w:val="Normal"/>
        <w:jc w:val="both"/>
        <w:rPr/>
      </w:pPr>
      <w:r>
        <w:rPr/>
      </w:r>
    </w:p>
    <w:p>
      <w:pPr>
        <w:pStyle w:val="Normal"/>
        <w:ind w:hanging="1440" w:start="1440" w:end="0"/>
        <w:jc w:val="both"/>
        <w:rPr/>
      </w:pPr>
      <w:r>
        <w:rPr/>
        <w:t>RE:</w:t>
        <w:tab/>
        <w:t>Enron 2000 Law Conference/CLE Credit</w:t>
      </w:r>
    </w:p>
    <w:p>
      <w:pPr>
        <w:pStyle w:val="Normal"/>
        <w:jc w:val="both"/>
        <w:rPr/>
      </w:pPr>
      <w:r>
        <w:rPr/>
      </w:r>
    </w:p>
    <w:p>
      <w:pPr>
        <w:pStyle w:val="Normal"/>
        <w:jc w:val="both"/>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pBdr>
          <w:bottom w:val="single" w:sz="6" w:space="1" w:color="000000"/>
        </w:pBdr>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tab/>
        <w:t>The Committee is pleased to report that the Texas Bar has already certified this year’s conference for 7.50 hours of total credit, with 2.00 hours of ethics credit.  The Committee is contacting the bar associations of certain other states listed by you in order to secure accreditation from them as well.  Please note, however, that some states (such as Louisiana) do not allow in-house CLE seminars to be accredited; further, due to events beyond our control, we may not be able to secure accreditation from some states until after the conference.  Last, the committee will only be pursuing accreditation from certain bar associations in the U.S.  If you desire CLE accreditation from some other entity (e.g., the bar of a foreign country), you will be responsible for pursuing that yourself.</w:t>
      </w:r>
    </w:p>
    <w:p>
      <w:pPr>
        <w:pStyle w:val="Normal"/>
        <w:tabs>
          <w:tab w:val="clear" w:pos="720"/>
          <w:tab w:val="left" w:pos="1440" w:leader="none"/>
        </w:tabs>
        <w:jc w:val="both"/>
        <w:rPr/>
      </w:pPr>
      <w:r>
        <w:rPr/>
      </w:r>
    </w:p>
    <w:p>
      <w:pPr>
        <w:pStyle w:val="Normal"/>
        <w:tabs>
          <w:tab w:val="clear" w:pos="720"/>
          <w:tab w:val="left" w:pos="1440" w:leader="none"/>
        </w:tabs>
        <w:jc w:val="both"/>
        <w:rPr/>
      </w:pPr>
      <w:r>
        <w:rPr/>
        <w:tab/>
        <w:t>Thank you for your help.  We look forward to seeing you at the conference.</w:t>
      </w:r>
    </w:p>
    <w:p>
      <w:pPr>
        <w:pStyle w:val="Normal"/>
        <w:jc w:val="both"/>
        <w:rPr/>
      </w:pPr>
      <w:r>
        <w:rPr/>
      </w:r>
    </w:p>
    <w:p>
      <w:pPr>
        <w:pStyle w:val="Normal"/>
        <w:jc w:val="both"/>
        <w:rPr/>
      </w:pPr>
      <w:r>
        <w:rPr/>
      </w:r>
    </w:p>
    <w:p>
      <w:pPr>
        <w:pStyle w:val="Normal"/>
        <w:jc w:val="both"/>
        <w:rPr/>
      </w:pPr>
      <w:r>
        <w:rPr/>
      </w:r>
    </w:p>
    <w:p>
      <w:pPr>
        <w:pStyle w:val="Normal"/>
        <w:jc w:val="center"/>
        <w:rPr/>
      </w:pPr>
      <w:r>
        <w:rPr/>
        <w:t>________________________________________________</w:t>
      </w:r>
    </w:p>
    <w:p>
      <w:pPr>
        <w:pStyle w:val="Normal"/>
        <w:jc w:val="both"/>
        <w:rPr/>
      </w:pPr>
      <w:r>
        <w:rPr/>
      </w:r>
    </w:p>
    <w:p>
      <w:pPr>
        <w:pStyle w:val="Normal"/>
        <w:jc w:val="both"/>
        <w:rPr/>
      </w:pPr>
      <w:r>
        <w:rPr/>
        <w:t>BKD/ml</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/mnt/main-storage/datasets/enron-docs/doc/CLEmemo.doc</w:t>
      </w:r>
      <w:r>
        <w:rPr>
          <w:sz w:val="16"/>
        </w:rPr>
        <w:fldChar w:fldCharType="end"/>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style>
  <w:style w:type="paragraph" w:styleId="EnvelopeAddress">
    <w:name w:val="envelope address"/>
    <w:basedOn w:val="Normal"/>
    <w:pPr>
      <w:ind w:hanging="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2000-03-23T19:50:00Z</dcterms:created>
  <dc:creator>mlawles</dc:creator>
  <dc:description/>
  <dc:language>en-CA</dc:language>
  <cp:lastModifiedBy>Sara Davidson</cp:lastModifiedBy>
  <cp:lastPrinted>2000-03-23T15:53:00Z</cp:lastPrinted>
  <dcterms:modified xsi:type="dcterms:W3CDTF">2000-03-23T19:50:00Z</dcterms:modified>
  <cp:revision>2</cp:revision>
  <dc:subject/>
  <dc:title> LITIGATION UNIT</dc:title>
</cp:coreProperties>
</file>