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drawing>
          <wp:inline distT="0" distB="0" distL="0" distR="0">
            <wp:extent cx="995680" cy="9899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95680" cy="989965"/>
                    </a:xfrm>
                    <a:prstGeom prst="rect">
                      <a:avLst/>
                    </a:prstGeom>
                    <a:noFill/>
                  </pic:spPr>
                </pic:pic>
              </a:graphicData>
            </a:graphic>
          </wp:inline>
        </w:drawing>
      </w:r>
    </w:p>
    <w:p>
      <w:pPr>
        <w:pStyle w:val="Heading"/>
        <w:rPr/>
      </w:pPr>
      <w:r>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rPr/>
            </w:pPr>
            <w:r>
              <w:rPr/>
              <w:t>EBS Government Affairs Group</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Scott Bolton and Donald Lassere</w:t>
            </w:r>
          </w:p>
        </w:tc>
        <w:tc>
          <w:tcPr>
            <w:tcW w:w="990" w:type="dxa"/>
            <w:tcBorders/>
          </w:tcPr>
          <w:p>
            <w:pPr>
              <w:pStyle w:val="Normal"/>
              <w:ind w:start="-180" w:end="0"/>
              <w:jc w:val="end"/>
              <w:rPr>
                <w:sz w:val="16"/>
              </w:rPr>
            </w:pPr>
            <w:r>
              <w:rPr>
                <w:sz w:val="16"/>
              </w:rPr>
              <w:t>Department:</w:t>
            </w:r>
          </w:p>
        </w:tc>
        <w:tc>
          <w:tcPr>
            <w:tcW w:w="2965" w:type="dxa"/>
            <w:tcBorders/>
          </w:tcPr>
          <w:p>
            <w:pPr>
              <w:pStyle w:val="Department"/>
              <w:rPr/>
            </w:pPr>
            <w:bookmarkStart w:id="0" w:name="From"/>
            <w:bookmarkEnd w:id="0"/>
            <w:r>
              <w:rPr/>
              <w:t>Government  Affairs</w:t>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tcPr>
          <w:p>
            <w:pPr>
              <w:pStyle w:val="Normal"/>
              <w:ind w:start="-180" w:end="0"/>
              <w:jc w:val="end"/>
              <w:rPr>
                <w:sz w:val="16"/>
              </w:rPr>
            </w:pPr>
            <w:r>
              <w:rPr>
                <w:sz w:val="16"/>
              </w:rPr>
              <w:t>Subject:</w:t>
            </w:r>
          </w:p>
        </w:tc>
        <w:tc>
          <w:tcPr>
            <w:tcW w:w="6045" w:type="dxa"/>
            <w:tcBorders/>
          </w:tcPr>
          <w:p>
            <w:pPr>
              <w:pStyle w:val="Subject"/>
              <w:rPr/>
            </w:pPr>
            <w:r>
              <w:rPr/>
              <w:t>CLEC Strategy – Thoughts on Moving Forward</w:t>
            </w:r>
          </w:p>
        </w:tc>
        <w:tc>
          <w:tcPr>
            <w:tcW w:w="990" w:type="dxa"/>
            <w:tcBorders/>
          </w:tcPr>
          <w:p>
            <w:pPr>
              <w:pStyle w:val="Normal"/>
              <w:ind w:start="-180" w:end="0"/>
              <w:jc w:val="end"/>
              <w:rPr>
                <w:sz w:val="16"/>
              </w:rPr>
            </w:pPr>
            <w:r>
              <w:rPr>
                <w:sz w:val="16"/>
              </w:rPr>
              <w:t>Date:</w:t>
            </w:r>
          </w:p>
        </w:tc>
        <w:tc>
          <w:tcPr>
            <w:tcW w:w="2965" w:type="dxa"/>
            <w:tcBorders/>
          </w:tcPr>
          <w:p>
            <w:pPr>
              <w:pStyle w:val="Date"/>
              <w:rPr/>
            </w:pPr>
            <w:r>
              <w:rPr/>
              <w:t>8/28/00</w:t>
            </w:r>
          </w:p>
        </w:tc>
      </w:tr>
    </w:tbl>
    <w:p>
      <w:pPr>
        <w:pStyle w:val="Body"/>
        <w:rPr/>
      </w:pPr>
      <w:r>
        <w:rPr/>
      </w:r>
    </w:p>
    <w:p>
      <w:pPr>
        <w:pStyle w:val="Normal"/>
        <w:rPr>
          <w:rFonts w:ascii="Helvetica" w:hAnsi="Helvetica" w:cs="Helvetica"/>
          <w:sz w:val="24"/>
        </w:rPr>
      </w:pPr>
      <w:r>
        <w:rPr>
          <w:rFonts w:cs="Helvetica" w:ascii="Helvetica" w:hAnsi="Helvetica"/>
          <w:sz w:val="24"/>
        </w:rPr>
        <w:t>INTRODUCTION</w:t>
      </w:r>
    </w:p>
    <w:p>
      <w:pPr>
        <w:pStyle w:val="BodyText"/>
        <w:rPr/>
      </w:pPr>
      <w:r>
        <w:rPr/>
        <w:t>As many of you may know, our group has been examining the issue of whether EBS needs to create a Competitive Local Exchange Carrier (CLEC) entity in order to carry out the objectives of our bandwidth trading strategy.  Over the past few months we have analyzed the various pros and cons of establishing a CLEC business for Enron, and have presented our recommendations and analysis to the EBS leadership.  In sum, we have come to the conclusion that the best way to accomplish the business objectives of EBS is to ensure its ability to provision services in the local market by creating a national CLEC.  We are now presenting this strategy to EBS management and want to articulate the strategy to you and what it means going forward.</w:t>
      </w:r>
    </w:p>
    <w:p>
      <w:pPr>
        <w:pStyle w:val="BodyText"/>
        <w:rPr/>
      </w:pPr>
      <w:r>
        <w:rPr/>
      </w:r>
    </w:p>
    <w:p>
      <w:pPr>
        <w:pStyle w:val="BodyText"/>
        <w:rPr/>
      </w:pPr>
      <w:r>
        <w:rPr/>
        <w:t>BACKGROUND</w:t>
      </w:r>
    </w:p>
    <w:p>
      <w:pPr>
        <w:pStyle w:val="BodyText"/>
        <w:rPr/>
      </w:pPr>
      <w:r>
        <w:rPr/>
        <w:t>The early iterations of EBS’ bandwidth trading model called for only long-haul transactions  (city to city, or Pooling Point to Pooling Point).  The original trading model called for an EBS counter-party to trade bandwidth between Pooling Points, and under its own volition move the bandwidth out the Pooling Point to a Point of Presence (POP) other than that of the Pooling Point.  The marketplace did not readily accept this model, i.e., there were very few counter-parties who were willing to trade only to a Pooling Point. In order to increase the participation of telecommunications carriers and large bandwidth users, EBS has had to modify its trading model to include local loop solutions.  EBS found that most bandwidth trading counter-parties want to move bandwidth between specific locations (address to address) that are usually outside of the current Pooling Point architecture.  In essence, bandwidth trades need to be a door-to-door transaction.</w:t>
      </w:r>
    </w:p>
    <w:p>
      <w:pPr>
        <w:pStyle w:val="BodyText"/>
        <w:rPr/>
      </w:pPr>
      <w:r>
        <w:rPr/>
      </w:r>
    </w:p>
    <w:p>
      <w:pPr>
        <w:pStyle w:val="BodyText"/>
        <w:rPr/>
      </w:pPr>
      <w:r>
        <w:rPr/>
        <w:t>PROJECT WASABI</w:t>
      </w:r>
    </w:p>
    <w:p>
      <w:pPr>
        <w:pStyle w:val="BodyText"/>
        <w:rPr/>
      </w:pPr>
      <w:r>
        <w:rPr/>
        <w:t>To accommodate the new model and jumpstart the bandwidth trading market, EBS has embarked on a new strategy that involves the creation of  “virtual” Pooling Points.  Since other carriers have been reluctant or slow to connect into the EBS Pooling Point architecture (usually a carrier hotel or EBS POP), EBS will now extend the Pooling Point out to where the other carriers already are. This concept is know in EBS as Project Wasabi. The first phase of Wasabi calls for EBS to deploy switches that are co-located with other carriers. This will allow for timely provisioning of bandwidth once a trade is confirmed.  This phase is currently underway and can be accomplished with little regulatory support outside of the acquisition of Certificates of Public Convenience and Necessity or Certificates of Authority from the PUCs of state where EBS will be providing telecommunications services.</w:t>
      </w:r>
    </w:p>
    <w:p>
      <w:pPr>
        <w:pStyle w:val="BodyText"/>
        <w:rPr/>
      </w:pPr>
      <w:r>
        <w:rPr/>
      </w:r>
    </w:p>
    <w:p>
      <w:pPr>
        <w:pStyle w:val="BodyText"/>
        <w:rPr/>
      </w:pPr>
      <w:r>
        <w:rPr/>
        <w:t>IMPACT OF WASABI PHASE 2</w:t>
      </w:r>
    </w:p>
    <w:p>
      <w:pPr>
        <w:pStyle w:val="BodyText"/>
        <w:rPr/>
      </w:pPr>
      <w:r>
        <w:rPr/>
        <w:t>The second and more aggressive phase of Project Wasabi will be the acquisition of dark fiber in 16 key metropolitan areas.  This fiber, in addition to metro fiber EBS already owns, will serve as a platform for EBS’ address to address trading strategy.  As EBS moves toward implementation of this phase (scheduled to begin Jan ’01) it needs to reconcile what regulatory posture this platform will adopt.  After listening to the types of deals the trading desk would like to conduct and discussing the provisioning challenges the Wasabi platform will present from the Network Provisioning group, a move towards a more regulated entity (a CLEC) is inevitable.  In order to provision UNEs, co-locate with incumbents, re-sell local loop, receive non-discriminatory building access, and other fundamental functions that an address to address provider needs to perform, Enron must create a registered CLEC.</w:t>
      </w:r>
    </w:p>
    <w:p>
      <w:pPr>
        <w:pStyle w:val="BodyText"/>
        <w:rPr/>
      </w:pPr>
      <w:r>
        <w:rPr/>
      </w:r>
    </w:p>
    <w:p>
      <w:pPr>
        <w:pStyle w:val="BodyText"/>
        <w:rPr/>
      </w:pPr>
      <w:r>
        <w:rPr/>
        <w:t>REGULATORY REQUIREMENTS</w:t>
      </w:r>
    </w:p>
    <w:p>
      <w:pPr>
        <w:pStyle w:val="BodyText"/>
        <w:rPr/>
      </w:pPr>
      <w:r>
        <w:rPr/>
        <w:t xml:space="preserve">The new entity will actually operate much more like what was once call a Competitive Access Provider or CAP (which typically bypasses the incumbent network to connect customers to IXC POPs) than a traditional CLEC. However, since the passage of the ’96 Telecom Act which established the legal concept of a CLEC, state regulators have folded CAPs into the same category as CLECs.  Regardless of the terminology, EBS will seek to utilize the unbundling requirements for ILECs as prescribed by Sec. 251 of the ’96 Act.  This will allow the “Enron CLEC” to equal and open access to the incumbent’s network at wholesale or TELRIC pricing.  This will allow maximum flexibility in providing local services in concert with the long-haul trading EBS currently performs.  The model we will be basing the new entity on will be Enron Telecommunications, Inc., a shell company created for the California market.  EBS believes that the ability to quickly provision bandwidth to customers from end to end will be the telecom industry’s “killer app” and is a crucial step towards moving bandwidth into a fungible commodity.  </w:t>
      </w:r>
    </w:p>
    <w:p>
      <w:pPr>
        <w:pStyle w:val="BodyText"/>
        <w:rPr/>
      </w:pPr>
      <w:r>
        <w:rPr/>
      </w:r>
    </w:p>
    <w:p>
      <w:pPr>
        <w:pStyle w:val="BodyText"/>
        <w:rPr/>
      </w:pPr>
      <w:r>
        <w:rPr/>
        <w:t xml:space="preserve">CLEC IMPLICATIONS </w:t>
      </w:r>
    </w:p>
    <w:p>
      <w:pPr>
        <w:pStyle w:val="BodyText"/>
        <w:rPr/>
      </w:pPr>
      <w:r>
        <w:rPr/>
        <w:t xml:space="preserve">There is no doubt that a CLEC strategy will mean more work and regulatory vigilance from our group.  This will include obtaining CLEC certificates in 50 states and Canada, negotiating interconnection agreements, and regulatory compliance. We will be responsible for a number of critical functions that are associated with the structuring and operations of a CLEC.  As we work with the commercial groups, trading desk, and EBS legal to develop the structure of the new CLEC, we will be communicating the details as they become available and will provide you with updates of our progress.  </w:t>
      </w:r>
    </w:p>
    <w:p>
      <w:pPr>
        <w:pStyle w:val="BodyText"/>
        <w:rPr/>
      </w:pPr>
      <w:r>
        <w:rPr/>
      </w:r>
    </w:p>
    <w:p>
      <w:pPr>
        <w:pStyle w:val="BodyText"/>
        <w:rPr/>
      </w:pPr>
      <w:r>
        <w:rPr/>
        <w:t>Please feel free to contact us if you have any questions.</w:t>
      </w:r>
    </w:p>
    <w:p>
      <w:pPr>
        <w:pStyle w:val="BodyText"/>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etica">
    <w:altName w:val="Arial"/>
    <w:charset w:val="00" w:characterSet="windows-1252"/>
    <w:family w:val="swiss"/>
    <w:pitch w:val="variable"/>
  </w:font>
</w:fonts>
</file>

<file path=word/settings.xml><?xml version="1.0" encoding="utf-8"?>
<w:settings xmlns:w="http://schemas.openxmlformats.org/wordprocessingml/2006/main">
  <w:zoom w:percent="9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rPr>
      <w:rFonts w:ascii="Arial" w:hAnsi="Arial" w:cs="Arial"/>
      <w:b/>
      <w:sz w:val="24"/>
    </w:rPr>
  </w:style>
  <w:style w:type="paragraph" w:styleId="BodyText">
    <w:name w:val="Body Text"/>
    <w:basedOn w:val="Normal"/>
    <w:pPr/>
    <w:rPr>
      <w:rFonts w:ascii="Helvetica" w:hAnsi="Helvetica" w:cs="Helvetica"/>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ject">
    <w:name w:val="Subject"/>
    <w:basedOn w:val="Normal"/>
    <w:qFormat/>
    <w:pPr/>
    <w:rPr>
      <w:rFonts w:ascii="Arial" w:hAnsi="Arial" w:cs="Arial"/>
    </w:rPr>
  </w:style>
  <w:style w:type="paragraph" w:styleId="Date">
    <w:name w:val="Date"/>
    <w:basedOn w:val="Normal"/>
    <w:qFormat/>
    <w:pPr/>
    <w:rPr>
      <w:rFonts w:ascii="Arial" w:hAnsi="Arial" w:cs="Arial"/>
    </w:rPr>
  </w:style>
  <w:style w:type="paragraph" w:styleId="To">
    <w:name w:val="To"/>
    <w:basedOn w:val="Normal"/>
    <w:qFormat/>
    <w:pPr/>
    <w:rPr>
      <w:rFonts w:ascii="Arial" w:hAnsi="Arial" w:cs="Arial"/>
    </w:rPr>
  </w:style>
  <w:style w:type="paragraph" w:styleId="From">
    <w:name w:val="From"/>
    <w:basedOn w:val="Normal"/>
    <w:qFormat/>
    <w:pPr/>
    <w:rPr>
      <w:rFonts w:ascii="Arial" w:hAnsi="Arial" w:cs="Arial"/>
    </w:rPr>
  </w:style>
  <w:style w:type="paragraph" w:styleId="Body">
    <w:name w:val="Body"/>
    <w:basedOn w:val="Normal"/>
    <w:qFormat/>
    <w:pPr>
      <w:ind w:hanging="0" w:start="72" w:end="0"/>
    </w:pPr>
    <w:rPr>
      <w:rFonts w:ascii="Arial" w:hAnsi="Arial" w:cs="Arial"/>
      <w:color w:val="000080"/>
    </w:rPr>
  </w:style>
  <w:style w:type="paragraph" w:styleId="Department">
    <w:name w:val="Department"/>
    <w:basedOn w:val="Normal"/>
    <w:qFormat/>
    <w:pPr/>
    <w:rPr>
      <w:rFonts w:ascii="Arial" w:hAnsi="Arial" w:cs="Arial"/>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2000-09-02T21:26:00Z</dcterms:created>
  <dc:creator>scott_bolton</dc:creator>
  <dc:description/>
  <dc:language>en-CA</dc:language>
  <cp:lastModifiedBy>donald_lassere</cp:lastModifiedBy>
  <dcterms:modified xsi:type="dcterms:W3CDTF">2000-09-02T21:26:00Z</dcterms:modified>
  <cp:revision>2</cp:revision>
  <dc:subject/>
  <dc:title> </dc:title>
</cp:coreProperties>
</file>