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i/>
          <w:i/>
          <w:sz w:val="32"/>
        </w:rPr>
      </w:pPr>
      <w:r>
        <w:rPr>
          <w:b/>
          <w:i/>
          <w:sz w:val="32"/>
        </w:rPr>
        <w:t xml:space="preserve">CLECA Thoughts on Possible Modifications to the </w:t>
        <w:br/>
        <w:t>Current Electrical Restructuring Framework</w:t>
      </w:r>
    </w:p>
    <w:p>
      <w:pPr>
        <w:pStyle w:val="Normal"/>
        <w:jc w:val="center"/>
        <w:rPr>
          <w:b/>
          <w:i/>
          <w:i/>
          <w:sz w:val="28"/>
        </w:rPr>
      </w:pPr>
      <w:r>
        <w:rPr>
          <w:b/>
          <w:i/>
          <w:sz w:val="28"/>
        </w:rPr>
      </w:r>
    </w:p>
    <w:p>
      <w:pPr>
        <w:pStyle w:val="Normal"/>
        <w:jc w:val="center"/>
        <w:rPr>
          <w:b/>
          <w:i/>
          <w:i/>
          <w:sz w:val="28"/>
        </w:rPr>
      </w:pPr>
      <w:r>
        <w:rPr>
          <w:b/>
          <w:i/>
          <w:sz w:val="28"/>
        </w:rPr>
      </w:r>
    </w:p>
    <w:p>
      <w:pPr>
        <w:pStyle w:val="Normal"/>
        <w:jc w:val="center"/>
        <w:rPr/>
      </w:pPr>
      <w:r>
        <w:rPr/>
      </w:r>
    </w:p>
    <w:p>
      <w:pPr>
        <w:pStyle w:val="Normal"/>
        <w:numPr>
          <w:ilvl w:val="0"/>
          <w:numId w:val="3"/>
        </w:numPr>
        <w:rPr/>
      </w:pPr>
      <w:r>
        <w:rPr/>
        <w:t xml:space="preserve">California must act to reduce the utilities’ wholesale power purchase costs in the short run and in the long run.  </w:t>
        <w:br/>
      </w:r>
    </w:p>
    <w:p>
      <w:pPr>
        <w:pStyle w:val="Normal"/>
        <w:numPr>
          <w:ilvl w:val="0"/>
          <w:numId w:val="10"/>
        </w:numPr>
        <w:tabs>
          <w:tab w:val="clear" w:pos="720"/>
          <w:tab w:val="left" w:pos="1080" w:leader="none"/>
        </w:tabs>
        <w:ind w:hanging="360" w:start="1080" w:end="0"/>
        <w:rPr/>
      </w:pPr>
      <w:r>
        <w:rPr/>
        <w:t xml:space="preserve">In the long run, the answer is building more generation and transmission capacity and pushing hard on demand side programs, in order to improve the supply/demand balance and to foster better responsiveness to price.  This is essential for maintenance of reliable electric service which is in turn critical for a continued strong economy. </w:t>
        <w:br/>
      </w:r>
    </w:p>
    <w:p>
      <w:pPr>
        <w:pStyle w:val="Normal"/>
        <w:numPr>
          <w:ilvl w:val="0"/>
          <w:numId w:val="10"/>
        </w:numPr>
        <w:tabs>
          <w:tab w:val="clear" w:pos="720"/>
          <w:tab w:val="left" w:pos="1440" w:leader="none"/>
        </w:tabs>
        <w:ind w:hanging="360" w:start="1440" w:end="0"/>
        <w:rPr/>
      </w:pPr>
      <w:r>
        <w:rPr/>
        <w:t xml:space="preserve">The Governor’s Task Force is working on the capacity question and hopefully on the demand side issues, as well.  Nonetheless, the Legislature should establish specific MW goals for the development of additional generation capacity in each of the next four years.  The Administration also has to be willing to intervene, as necessary, to resolve NIMBY problems.  </w:t>
        <w:br/>
      </w:r>
    </w:p>
    <w:p>
      <w:pPr>
        <w:pStyle w:val="Normal"/>
        <w:numPr>
          <w:ilvl w:val="0"/>
          <w:numId w:val="10"/>
        </w:numPr>
        <w:tabs>
          <w:tab w:val="clear" w:pos="720"/>
          <w:tab w:val="left" w:pos="1440" w:leader="none"/>
        </w:tabs>
        <w:ind w:hanging="360" w:start="1440" w:end="0"/>
        <w:rPr/>
      </w:pPr>
      <w:r>
        <w:rPr/>
        <w:t xml:space="preserve">It also needs to encourage the CPUC to promote and expand demand responsiveness programs, as well as programs aimed at improving the efficiency of both air conditioning and lighting.  We need more air conditioning cycling programs.  We also need to permit industrial customers to bid their demand into ISO ancillary services markets. </w:t>
        <w:br/>
      </w:r>
    </w:p>
    <w:p>
      <w:pPr>
        <w:pStyle w:val="Normal"/>
        <w:numPr>
          <w:ilvl w:val="0"/>
          <w:numId w:val="10"/>
        </w:numPr>
        <w:tabs>
          <w:tab w:val="clear" w:pos="720"/>
          <w:tab w:val="left" w:pos="1080" w:leader="none"/>
        </w:tabs>
        <w:ind w:hanging="360" w:start="1080" w:end="0"/>
        <w:rPr/>
      </w:pPr>
      <w:r>
        <w:rPr/>
        <w:t xml:space="preserve">In the short run, there are three things that we can do to moderate wholesale prices.  </w:t>
        <w:br/>
      </w:r>
    </w:p>
    <w:p>
      <w:pPr>
        <w:pStyle w:val="Normal"/>
        <w:numPr>
          <w:ilvl w:val="0"/>
          <w:numId w:val="10"/>
        </w:numPr>
        <w:tabs>
          <w:tab w:val="clear" w:pos="720"/>
          <w:tab w:val="left" w:pos="1440" w:leader="none"/>
        </w:tabs>
        <w:ind w:hanging="360" w:start="1440" w:end="0"/>
        <w:rPr/>
      </w:pPr>
      <w:r>
        <w:rPr/>
        <w:t xml:space="preserve">First, encourage the utilities to purchase a significant portion of their requirements under term contracts at fixed prices.  Power can be purchased in bulk for three-or four-year terms for roughly 5¢ to 5.5¢/kWh, even in this inflated market.  Such contracts would provide power purchase costs at roughly the energy rate level embedded in current frozen rates.  Obviously, the utilities would have to continue to purchase some power on the spot market to meet peak demands, but term contracts would permit them to avoid having to buy all their requirements at 15¢/kWh.  </w:t>
        <w:br/>
      </w:r>
    </w:p>
    <w:p>
      <w:pPr>
        <w:pStyle w:val="Normal"/>
        <w:numPr>
          <w:ilvl w:val="0"/>
          <w:numId w:val="10"/>
        </w:numPr>
        <w:tabs>
          <w:tab w:val="clear" w:pos="720"/>
          <w:tab w:val="left" w:pos="1440" w:leader="none"/>
        </w:tabs>
        <w:ind w:hanging="360" w:start="1440" w:end="0"/>
        <w:rPr/>
      </w:pPr>
      <w:r>
        <w:rPr/>
        <w:t xml:space="preserve">Second, cause the utilities to retain generation assets not yet sold and operate such assets as a buffer against high wholesale prices.  One option would be to have the utilities sell the power into the PX, or elsewhere, with a reasonable sharing of profits above cost between shareholders, and all customers through a credit against non-energy rates.  A second option would be to direct the utilities to schedule the output of such plants to their full service customers at cost-based prices under a rate stabilization plan.  This would, unfortunately, add a further restraint on the development of retail competition for small customers, and it raises the knotty question of what constitutes “cost-based” rates after the valuation of such plants.  </w:t>
        <w:br/>
      </w:r>
    </w:p>
    <w:p>
      <w:pPr>
        <w:pStyle w:val="Normal"/>
        <w:numPr>
          <w:ilvl w:val="0"/>
          <w:numId w:val="6"/>
        </w:numPr>
        <w:tabs>
          <w:tab w:val="clear" w:pos="720"/>
          <w:tab w:val="left" w:pos="1080" w:leader="none"/>
        </w:tabs>
        <w:ind w:hanging="360" w:start="1080" w:end="0"/>
        <w:rPr/>
      </w:pPr>
      <w:r>
        <w:rPr/>
        <w:t>Third, create sustainable demand side programs that improve appliance efficiency and permit better demand responsiveness.  Customers must be afforded the opportunity to respond to high market prices by reducing or shifting their demand.  Customer demand responsiveness is critical to healthy markets.  Its absence last summer is one of the chief contributors to the high wholesale prices paid by the utilities.  Large commercial and industrial customers that have the metering capability to see hourly prices should be encouraged to bid their demand into the energy and ancillary services markets and thereby place downward pressure on the wholesale prices that have to be paid by all customers.</w:t>
      </w:r>
    </w:p>
    <w:p>
      <w:pPr>
        <w:pStyle w:val="Normal"/>
        <w:rPr/>
      </w:pPr>
      <w:r>
        <w:rPr/>
      </w:r>
    </w:p>
    <w:p>
      <w:pPr>
        <w:pStyle w:val="Normal"/>
        <w:numPr>
          <w:ilvl w:val="0"/>
          <w:numId w:val="3"/>
        </w:numPr>
        <w:rPr/>
      </w:pPr>
      <w:r>
        <w:rPr/>
        <w:t>California must address the utilities’ TRA undercollection issue.</w:t>
        <w:br/>
      </w:r>
    </w:p>
    <w:p>
      <w:pPr>
        <w:pStyle w:val="Normal"/>
        <w:numPr>
          <w:ilvl w:val="0"/>
          <w:numId w:val="5"/>
        </w:numPr>
        <w:tabs>
          <w:tab w:val="clear" w:pos="720"/>
          <w:tab w:val="left" w:pos="1080" w:leader="none"/>
        </w:tabs>
        <w:ind w:hanging="360" w:start="1080" w:end="0"/>
        <w:rPr/>
      </w:pPr>
      <w:r>
        <w:rPr/>
        <w:t>The utilities state that their current (end of October) TRA balances are roughly $6 billion ($2.6 for SCE and $3.4 for PG&amp;E), and that they continue to grow.  They want to be permitted to recover all of that amount from customers over the next four years, or so.  Such an amortization would add 1.0 to 1.1 ¢/kWh to the average rate paid by all current customers, without considering carrying charges.</w:t>
        <w:br/>
      </w:r>
    </w:p>
    <w:p>
      <w:pPr>
        <w:pStyle w:val="Normal"/>
        <w:numPr>
          <w:ilvl w:val="0"/>
          <w:numId w:val="5"/>
        </w:numPr>
        <w:tabs>
          <w:tab w:val="clear" w:pos="720"/>
          <w:tab w:val="left" w:pos="1080" w:leader="none"/>
        </w:tabs>
        <w:ind w:hanging="360" w:start="1080" w:end="0"/>
        <w:rPr/>
      </w:pPr>
      <w:r>
        <w:rPr/>
        <w:t>Customers and the CPUC dispute the utilities’ right to collect such undercollections after the end of the rate freeze period.  The CPUC’s reading of AB 1890 is that such post-freeze collection would unlawfully increase the amount of CTC the utilities are permitted to collect during the freeze.  We, and every consumer group we are aware of, agree with the CPUC.  Nonetheless, the utilities maintain that they are entitled to full recovery and both have filed federal court actions seeking an order declaring the CPUC’s decision unlawful.  The Administration should resist forcefully such efforts to shift responsibility for these rate freeze period costs to consumers.</w:t>
        <w:br/>
      </w:r>
    </w:p>
    <w:p>
      <w:pPr>
        <w:pStyle w:val="Normal"/>
        <w:numPr>
          <w:ilvl w:val="0"/>
          <w:numId w:val="7"/>
        </w:numPr>
        <w:tabs>
          <w:tab w:val="clear" w:pos="720"/>
        </w:tabs>
        <w:ind w:hanging="360" w:start="1080" w:end="0"/>
        <w:rPr/>
      </w:pPr>
      <w:r>
        <w:rPr/>
        <w:t>The CPUC should adopt the accounting proposals offered by TURN and supported by virtually every consumer group.  TURN’s proposal is that the CPUC return to previously authorized accounting rules which require the utilities to transfer the month-end balances in the TRA to the TCBA, whether they are positive or negative.  TURN also proposes that certain generation memo account balances should be transferred to the TCBA monthly rather than annually, as is the case presently.  These changes would provide a better, more accurate, picture of the utilities’ CTC collection to date.  Over the first three years of the rate freeze (1997-1999) the utilities collected a total of $6.9 billion of “headroom” revenues in the TRA and transferred them to the TCBA.  In addition, they have realized additional billions of dollars of generation revenues that have been credited directly to the TCBA.  The TURN proposal would properly show the performance of the TCBA over the entire rate freeze period to date, rather than permitting the utilities to claim CTC recovery in the early years and stick consumers with TRA undercollections in the later years.</w:t>
        <w:br/>
      </w:r>
    </w:p>
    <w:p>
      <w:pPr>
        <w:pStyle w:val="Normal"/>
        <w:ind w:hanging="720" w:start="720" w:end="0"/>
        <w:rPr/>
      </w:pPr>
      <w:r>
        <w:rPr/>
        <w:t>3.</w:t>
        <w:tab/>
        <w:t>California must address the higher level of ongoing energy costs and reflect those costs, in some manner, in the rates charged by the utilities.  There is no question that power purchase costs have increased since the outset of the rate freeze period and that the portion of the average frozen rate (roughly 5.5¢/kWh) is not adequate presently to cover the utilities’ ongoing costs of purchasing power.  California needs to either end the rate freeze and replace it with a rate stabilization plan or extend the rate freeze after an adjustment to frozen rate levels.  It is very unlikely that we can move forward without some increase in electric rates.</w:t>
        <w:br/>
      </w:r>
    </w:p>
    <w:p>
      <w:pPr>
        <w:pStyle w:val="Normal"/>
        <w:numPr>
          <w:ilvl w:val="0"/>
          <w:numId w:val="6"/>
        </w:numPr>
        <w:tabs>
          <w:tab w:val="clear" w:pos="720"/>
          <w:tab w:val="left" w:pos="1080" w:leader="none"/>
        </w:tabs>
        <w:ind w:hanging="360" w:start="1080" w:end="0"/>
        <w:rPr/>
      </w:pPr>
      <w:r>
        <w:rPr/>
        <w:t>The CPUC should complete its valuation of the utilities’ retained generation assets no later than March 31, 2001.  This valuation is an essential item for ending the freeze and it should not be artificially extended.  Nor should utility “estimates” of the value be used to create an early end to the freeze.</w:t>
        <w:br/>
      </w:r>
    </w:p>
    <w:p>
      <w:pPr>
        <w:pStyle w:val="Normal"/>
        <w:numPr>
          <w:ilvl w:val="0"/>
          <w:numId w:val="6"/>
        </w:numPr>
        <w:tabs>
          <w:tab w:val="clear" w:pos="720"/>
          <w:tab w:val="left" w:pos="1080" w:leader="none"/>
        </w:tabs>
        <w:ind w:hanging="360" w:start="1080" w:end="0"/>
        <w:rPr/>
      </w:pPr>
      <w:r>
        <w:rPr/>
        <w:t>If the valuation shows that the utilities have fully collected their CTC, then the rate freeze should end immediately.</w:t>
        <w:br/>
      </w:r>
    </w:p>
    <w:p>
      <w:pPr>
        <w:pStyle w:val="Normal"/>
        <w:numPr>
          <w:ilvl w:val="0"/>
          <w:numId w:val="6"/>
        </w:numPr>
        <w:tabs>
          <w:tab w:val="clear" w:pos="720"/>
          <w:tab w:val="left" w:pos="1080" w:leader="none"/>
        </w:tabs>
        <w:ind w:hanging="360" w:start="1080" w:end="0"/>
        <w:rPr/>
      </w:pPr>
      <w:r>
        <w:rPr/>
        <w:t>If there is an overcollection in the TCBA at the time valuation is completed, it should be held by the utilities and used to offset ongoing power purchase costs over a reasonable period.  If there is a determination that customers are responsible for some portion of the current TRA undercollection (either through court order or negotiation) any TCBA surplus should be used to defray that obligation.</w:t>
        <w:br/>
      </w:r>
    </w:p>
    <w:p>
      <w:pPr>
        <w:pStyle w:val="Normal"/>
        <w:numPr>
          <w:ilvl w:val="0"/>
          <w:numId w:val="6"/>
        </w:numPr>
        <w:tabs>
          <w:tab w:val="clear" w:pos="720"/>
          <w:tab w:val="left" w:pos="1080" w:leader="none"/>
        </w:tabs>
        <w:ind w:hanging="360" w:start="1080" w:end="0"/>
        <w:rPr/>
      </w:pPr>
      <w:r>
        <w:rPr/>
        <w:t>At the end of the rate freeze, a rate stabilization plan should be adopted.  The plan should cover all residential and small commercial customers and should be made available, on an optional basis, to large commercial and industrial customers.  The plan should 1 ) establish rates that reflect a portion of the increase in current wholesale energy costs 2) establish a balancing account mechanism that ensures the utilities that any prospective undercollections associated with the rate stabilization program will be recovered over a reasonable period with interest from those customers participating in the rate stabilization plan and 3) amortize any such undercollections over 4 to 5 years.  We should resist utility efforts to impose “exit” fees on customers who choose direct access at the outset and do not purchase power supplied by the utility.</w:t>
        <w:br/>
      </w:r>
    </w:p>
    <w:p>
      <w:pPr>
        <w:pStyle w:val="Normal"/>
        <w:numPr>
          <w:ilvl w:val="0"/>
          <w:numId w:val="6"/>
        </w:numPr>
        <w:tabs>
          <w:tab w:val="clear" w:pos="720"/>
          <w:tab w:val="left" w:pos="1080" w:leader="none"/>
        </w:tabs>
        <w:ind w:hanging="360" w:start="1080" w:end="0"/>
        <w:rPr/>
      </w:pPr>
      <w:r>
        <w:rPr/>
        <w:t xml:space="preserve">Large commercial and industrial customers should be permitted to participate in the Plan, but if they do so, they must commit at the outset of their participation in the  rate stabilization plan to purchase power from the utility for a term long enough to assure that they contribute fully to recovery of any early year undercollection associated with their usage.  An option would be to encourage the utilities to offer such customers fixed price energy supply agreements for specific terms – much like a direct access agreement. </w:t>
        <w:br/>
      </w:r>
    </w:p>
    <w:p>
      <w:pPr>
        <w:pStyle w:val="Normal"/>
        <w:rPr/>
      </w:pPr>
      <w:r>
        <w:rPr/>
      </w:r>
    </w:p>
    <w:p>
      <w:pPr>
        <w:pStyle w:val="Normal"/>
        <w:rPr/>
      </w:pPr>
      <w:r>
        <w:rPr/>
      </w:r>
    </w:p>
    <w:p>
      <w:pPr>
        <w:pStyle w:val="Normal"/>
        <w:rPr/>
      </w:pPr>
      <w:r>
        <w:rPr/>
      </w:r>
    </w:p>
    <w:p>
      <w:pPr>
        <w:pStyle w:val="Normal"/>
        <w:rPr>
          <w:sz w:val="16"/>
        </w:rPr>
      </w:pPr>
      <w:r>
        <w:rPr>
          <w:sz w:val="16"/>
        </w:rPr>
        <w:t>CLECA/049/MEMO TO DJ RE END OF FREEZE 11/10/00</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Univers (W1)">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0" w:hanging="0"/>
      </w:pPr>
      <w:rPr>
        <w:sz w:val="24"/>
        <w:rFonts w:ascii="Times New Roman" w:hAnsi="Times New Roman" w:cs="Times New Roman"/>
      </w:rPr>
    </w:lvl>
    <w:lvl w:ilvl="1">
      <w:start w:val="1"/>
      <w:numFmt w:val="lowerLetter"/>
      <w:lvlText w:val="%2."/>
      <w:lvlJc w:val="start"/>
      <w:pPr>
        <w:tabs>
          <w:tab w:val="num" w:pos="1800"/>
        </w:tabs>
        <w:ind w:start="0" w:firstLine="1440"/>
      </w:pPr>
      <w:rPr>
        <w:sz w:val="24"/>
        <w:rFonts w:ascii="Times New Roman" w:hAnsi="Times New Roman" w:cs="Times New Roman"/>
      </w:rPr>
    </w:lvl>
    <w:lvl w:ilvl="2">
      <w:start w:val="1"/>
      <w:numFmt w:val="lowerRoman"/>
      <w:lvlText w:val="%3."/>
      <w:lvlJc w:val="start"/>
      <w:pPr>
        <w:tabs>
          <w:tab w:val="num" w:pos="2160"/>
        </w:tabs>
        <w:ind w:start="0" w:firstLine="1440"/>
      </w:pPr>
      <w:rPr>
        <w:sz w:val="24"/>
        <w:rFonts w:ascii="Times New Roman" w:hAnsi="Times New Roman" w:cs="Times New Roman"/>
      </w:r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decimal"/>
      <w:lvlText w:val="%1."/>
      <w:lvlJc w:val="start"/>
      <w:pPr>
        <w:tabs>
          <w:tab w:val="num" w:pos="1440"/>
        </w:tabs>
        <w:ind w:start="1440" w:hanging="720"/>
      </w:pPr>
      <w:rPr>
        <w:sz w:val="24"/>
        <w:rFonts w:ascii="Times New Roman" w:hAnsi="Times New Roman" w:cs="Times New Roman"/>
      </w:rPr>
    </w:lvl>
    <w:lvl w:ilvl="1">
      <w:start w:val="1"/>
      <w:numFmt w:val="lowerLetter"/>
      <w:lvlText w:val="%2."/>
      <w:lvlJc w:val="start"/>
      <w:pPr>
        <w:tabs>
          <w:tab w:val="num" w:pos="2160"/>
        </w:tabs>
        <w:ind w:start="2160" w:hanging="720"/>
      </w:pPr>
      <w:rPr>
        <w:sz w:val="24"/>
        <w:rFonts w:ascii="Times New Roman" w:hAnsi="Times New Roman" w:cs="Times New Roman"/>
      </w:rPr>
    </w:lvl>
    <w:lvl w:ilvl="2">
      <w:start w:val="1"/>
      <w:numFmt w:val="lowerRoman"/>
      <w:lvlText w:val="%3."/>
      <w:lvlJc w:val="start"/>
      <w:pPr>
        <w:tabs>
          <w:tab w:val="num" w:pos="2880"/>
        </w:tabs>
        <w:ind w:start="2880" w:hanging="720"/>
      </w:pPr>
      <w:rPr>
        <w:sz w:val="24"/>
        <w:rFonts w:ascii="Times New Roman" w:hAnsi="Times New Roman" w:cs="Times New Roman"/>
      </w:r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3">
    <w:lvl w:ilvl="0">
      <w:start w:val="1"/>
      <w:numFmt w:val="decimal"/>
      <w:lvlText w:val="%1."/>
      <w:lvlJc w:val="start"/>
      <w:pPr>
        <w:tabs>
          <w:tab w:val="num" w:pos="720"/>
        </w:tabs>
        <w:ind w:start="720" w:hanging="720"/>
      </w:pPr>
      <w:rPr/>
    </w:lvl>
  </w:abstractNum>
  <w:abstractNum w:abstractNumId="4">
    <w:lvl w:ilvl="0">
      <w:start w:val="1"/>
      <w:numFmt w:val="decimal"/>
      <w:lvlText w:val="%1."/>
      <w:lvlJc w:val="start"/>
      <w:pPr>
        <w:tabs>
          <w:tab w:val="num" w:pos="1440"/>
        </w:tabs>
        <w:ind w:start="1440" w:hanging="720"/>
      </w:pPr>
      <w:rPr>
        <w:sz w:val="24"/>
        <w:rFonts w:ascii="Times New Roman" w:hAnsi="Times New Roman" w:cs="Times New Roman"/>
      </w:rPr>
    </w:lvl>
    <w:lvl w:ilvl="1">
      <w:start w:val="1"/>
      <w:numFmt w:val="lowerLetter"/>
      <w:lvlText w:val="%2."/>
      <w:lvlJc w:val="start"/>
      <w:pPr>
        <w:tabs>
          <w:tab w:val="num" w:pos="2160"/>
        </w:tabs>
        <w:ind w:start="2160" w:hanging="720"/>
      </w:pPr>
      <w:rPr>
        <w:sz w:val="24"/>
        <w:rFonts w:ascii="Times New Roman" w:hAnsi="Times New Roman" w:cs="Times New Roman"/>
      </w:rPr>
    </w:lvl>
    <w:lvl w:ilvl="2">
      <w:start w:val="1"/>
      <w:numFmt w:val="lowerRoman"/>
      <w:lvlText w:val="%3."/>
      <w:lvlJc w:val="start"/>
      <w:pPr>
        <w:tabs>
          <w:tab w:val="num" w:pos="2880"/>
        </w:tabs>
        <w:ind w:start="0" w:firstLine="2160"/>
      </w:pPr>
      <w:rPr>
        <w:sz w:val="24"/>
        <w:rFonts w:ascii="Times New Roman" w:hAnsi="Times New Roman" w:cs="Times New Roman"/>
      </w:r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1"/>
      <w:numFmt w:val="upperRoman"/>
      <w:lvlText w:val="%1."/>
      <w:lvlJc w:val="start"/>
      <w:pPr>
        <w:tabs>
          <w:tab w:val="num" w:pos="720"/>
        </w:tabs>
        <w:ind w:start="720" w:hanging="720"/>
      </w:pPr>
    </w:lvl>
    <w:lvl w:ilvl="1">
      <w:start w:val="1"/>
      <w:numFmt w:val="upperLetter"/>
      <w:lvlText w:val="%2."/>
      <w:lvlJc w:val="start"/>
      <w:pPr>
        <w:tabs>
          <w:tab w:val="num" w:pos="1440"/>
        </w:tabs>
        <w:ind w:start="1440" w:hanging="720"/>
      </w:pPr>
    </w:lvl>
    <w:lvl w:ilvl="2">
      <w:start w:val="1"/>
      <w:numFmt w:val="decimal"/>
      <w:lvlText w:val="%3."/>
      <w:lvlJc w:val="start"/>
      <w:pPr>
        <w:tabs>
          <w:tab w:val="num" w:pos="2160"/>
        </w:tabs>
        <w:ind w:start="2160" w:hanging="720"/>
      </w:pPr>
    </w:lvl>
    <w:lvl w:ilvl="3">
      <w:start w:val="1"/>
      <w:numFmt w:val="lowerLetter"/>
      <w:lvlText w:val="%4."/>
      <w:lvlJc w:val="start"/>
      <w:pPr>
        <w:tabs>
          <w:tab w:val="num" w:pos="2880"/>
        </w:tabs>
        <w:ind w:start="2880" w:hanging="720"/>
      </w:pPr>
    </w:lvl>
    <w:lvl w:ilvl="4">
      <w:start w:val="1"/>
      <w:numFmt w:val="lowerRoman"/>
      <w:lvlText w:val="%5."/>
      <w:lvlJc w:val="start"/>
      <w:pPr>
        <w:tabs>
          <w:tab w:val="num" w:pos="3600"/>
        </w:tabs>
        <w:ind w:start="3600" w:hanging="720"/>
      </w:pPr>
    </w:lvl>
    <w:lvl w:ilvl="5">
      <w:start w:val="1"/>
      <w:numFmt w:val="lowerLetter"/>
      <w:lvlText w:val="%6)"/>
      <w:lvlJc w:val="start"/>
      <w:pPr>
        <w:tabs>
          <w:tab w:val="num" w:pos="1152"/>
        </w:tabs>
        <w:ind w:start="1152" w:hanging="432"/>
      </w:pPr>
    </w:lvl>
    <w:lvl w:ilvl="6">
      <w:start w:val="1"/>
      <w:numFmt w:val="lowerRoman"/>
      <w:lvlText w:val="%7)"/>
      <w:lvlJc w:val="end"/>
      <w:pPr>
        <w:tabs>
          <w:tab w:val="num" w:pos="1296"/>
        </w:tabs>
        <w:ind w:start="1296" w:hanging="288"/>
      </w:pPr>
    </w:lvl>
    <w:lvl w:ilvl="7">
      <w:start w:val="1"/>
      <w:numFmt w:val="lowerLetter"/>
      <w:lvlText w:val="%8."/>
      <w:lvlJc w:val="start"/>
      <w:pPr>
        <w:tabs>
          <w:tab w:val="num" w:pos="1440"/>
        </w:tabs>
        <w:ind w:start="1440" w:hanging="432"/>
      </w:pPr>
    </w:lvl>
    <w:lvl w:ilvl="8">
      <w:start w:val="1"/>
      <w:numFmt w:val="lowerRoman"/>
      <w:lvlText w:val="%9."/>
      <w:lvlJc w:val="end"/>
      <w:pPr>
        <w:tabs>
          <w:tab w:val="num" w:pos="1584"/>
        </w:tabs>
        <w:ind w:start="1584" w:hanging="144"/>
      </w:pPr>
    </w:lvl>
  </w:abstractNum>
  <w:abstractNum w:abstractNumId="9">
    <w:lvl w:ilvl="0">
      <w:start w:val="1"/>
      <w:numFmt w:val="decimal"/>
      <w:lvlText w:val="%1."/>
      <w:lvlJc w:val="start"/>
      <w:pPr>
        <w:tabs>
          <w:tab w:val="num" w:pos="1080"/>
        </w:tabs>
        <w:ind w:start="0" w:firstLine="720"/>
      </w:pPr>
      <w:rPr>
        <w:sz w:val="24"/>
        <w:rFonts w:ascii="Times New Roman" w:hAnsi="Times New Roman" w:cs="Times New Roman"/>
      </w:rPr>
    </w:lvl>
    <w:lvl w:ilvl="1">
      <w:start w:val="1"/>
      <w:numFmt w:val="lowerLetter"/>
      <w:lvlText w:val="%2."/>
      <w:lvlJc w:val="start"/>
      <w:pPr>
        <w:tabs>
          <w:tab w:val="num" w:pos="1080"/>
        </w:tabs>
        <w:ind w:start="0" w:firstLine="720"/>
      </w:pPr>
      <w:rPr>
        <w:sz w:val="24"/>
        <w:rFonts w:ascii="Times New Roman" w:hAnsi="Times New Roman" w:cs="Times New Roman"/>
      </w:rPr>
    </w:lvl>
    <w:lvl w:ilvl="2">
      <w:start w:val="1"/>
      <w:numFmt w:val="lowerRoman"/>
      <w:lvlText w:val="%3."/>
      <w:lvlJc w:val="start"/>
      <w:pPr>
        <w:tabs>
          <w:tab w:val="num" w:pos="2880"/>
        </w:tabs>
        <w:ind w:start="0" w:firstLine="2160"/>
      </w:pPr>
      <w:rPr>
        <w:sz w:val="24"/>
        <w:rFonts w:ascii="Times New Roman" w:hAnsi="Times New Roman" w:cs="Times New Roman"/>
      </w:r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10">
    <w:lvl w:ilvl="0">
      <w:start w:val="1"/>
      <w:numFmt w:val="bullet"/>
      <w:lvlText w:val=""/>
      <w:lvlJc w:val="start"/>
      <w:pPr>
        <w:tabs>
          <w:tab w:val="num" w:pos="360"/>
        </w:tabs>
        <w:ind w:start="360" w:hanging="360"/>
      </w:pPr>
      <w:rPr>
        <w:rFonts w:ascii="Wingdings" w:hAnsi="Wingdings" w:cs="Wingdings" w:hint="default"/>
      </w:rPr>
    </w:lvl>
  </w:abstractNum>
  <w:abstractNum w:abstractNumId="1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1z0">
    <w:name w:val="WW8Num1z0"/>
    <w:qFormat/>
    <w:rPr>
      <w:rFonts w:ascii="Times New Roman" w:hAnsi="Times New Roman" w:cs="Times New Roman"/>
      <w:sz w:val="24"/>
    </w:rPr>
  </w:style>
  <w:style w:type="character" w:styleId="WW8Num3z0">
    <w:name w:val="WW8Num3z0"/>
    <w:qFormat/>
    <w:rPr>
      <w:rFonts w:ascii="Times New Roman" w:hAnsi="Times New Roman" w:cs="Times New Roman"/>
      <w:sz w:val="24"/>
    </w:rPr>
  </w:style>
  <w:style w:type="character" w:styleId="WW8Num4z0">
    <w:name w:val="WW8Num4z0"/>
    <w:qFormat/>
    <w:rPr/>
  </w:style>
  <w:style w:type="character" w:styleId="WW8Num5z0">
    <w:name w:val="WW8Num5z0"/>
    <w:qFormat/>
    <w:rPr>
      <w:rFonts w:ascii="Times New Roman" w:hAnsi="Times New Roman" w:cs="Times New Roman"/>
      <w:sz w:val="24"/>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1z0">
    <w:name w:val="WW8Num11z0"/>
    <w:qFormat/>
    <w:rPr>
      <w:rFonts w:ascii="Times New Roman" w:hAnsi="Times New Roman" w:cs="Times New Roman"/>
      <w:sz w:val="24"/>
    </w:rPr>
  </w:style>
  <w:style w:type="character" w:styleId="WW8Num12z0">
    <w:name w:val="WW8Num12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widowControl w:val="false"/>
      <w:ind w:hanging="0" w:start="2880" w:end="0"/>
    </w:pPr>
    <w:rPr>
      <w:lang w:eastAsia="en-US"/>
    </w:rPr>
  </w:style>
  <w:style w:type="paragraph" w:styleId="EnvelopeReturn">
    <w:name w:val="envelope return"/>
    <w:basedOn w:val="Normal"/>
    <w:pPr/>
    <w:rPr>
      <w:rFonts w:ascii="Univers (W1);Arial" w:hAnsi="Univers (W1);Arial" w:cs="Univers (W1);Arial"/>
      <w:smallCaps/>
    </w:rPr>
  </w:style>
  <w:style w:type="paragraph" w:styleId="Declar1">
    <w:name w:val="Declar. 1"/>
    <w:basedOn w:val="Normal"/>
    <w:qFormat/>
    <w:pPr>
      <w:widowControl w:val="false"/>
      <w:numPr>
        <w:ilvl w:val="0"/>
        <w:numId w:val="1"/>
      </w:numPr>
      <w:tabs>
        <w:tab w:val="clear" w:pos="720"/>
      </w:tabs>
      <w:spacing w:before="0" w:after="240"/>
      <w:outlineLvl w:val="0"/>
    </w:pPr>
    <w:rPr/>
  </w:style>
  <w:style w:type="paragraph" w:styleId="Declar2">
    <w:name w:val="Declar. 2"/>
    <w:basedOn w:val="Declar1"/>
    <w:qFormat/>
    <w:pPr>
      <w:numPr>
        <w:ilvl w:val="0"/>
        <w:numId w:val="9"/>
      </w:numPr>
      <w:outlineLvl w:val="1"/>
    </w:pPr>
    <w:rPr/>
  </w:style>
  <w:style w:type="paragraph" w:styleId="Declar3">
    <w:name w:val="Declar. 3"/>
    <w:basedOn w:val="Declar2"/>
    <w:qFormat/>
    <w:pPr>
      <w:numPr>
        <w:ilvl w:val="0"/>
        <w:numId w:val="1"/>
      </w:numPr>
      <w:outlineLvl w:val="2"/>
    </w:pPr>
    <w:rPr/>
  </w:style>
  <w:style w:type="paragraph" w:styleId="DeclarIndent1">
    <w:name w:val="Declar. Indent 1"/>
    <w:basedOn w:val="Normal"/>
    <w:qFormat/>
    <w:pPr>
      <w:numPr>
        <w:ilvl w:val="0"/>
        <w:numId w:val="4"/>
      </w:numPr>
      <w:spacing w:before="0" w:after="240"/>
    </w:pPr>
    <w:rPr/>
  </w:style>
  <w:style w:type="paragraph" w:styleId="DeclarIndent2">
    <w:name w:val="Declar. Indent 2"/>
    <w:basedOn w:val="DeclarIndent1"/>
    <w:qFormat/>
    <w:pPr>
      <w:numPr>
        <w:ilvl w:val="0"/>
        <w:numId w:val="2"/>
      </w:numPr>
      <w:outlineLvl w:val="1"/>
    </w:pPr>
    <w:rPr/>
  </w:style>
  <w:style w:type="paragraph" w:styleId="DeclarIndent3">
    <w:name w:val="Declar. Indent 3"/>
    <w:basedOn w:val="DeclarIndent2"/>
    <w:qFormat/>
    <w:pPr>
      <w:numPr>
        <w:ilvl w:val="0"/>
        <w:numId w:val="2"/>
      </w:numPr>
      <w:outlineLvl w:val="2"/>
    </w:pPr>
    <w:rPr/>
  </w:style>
  <w:style w:type="paragraph" w:styleId="OutlineLevel1">
    <w:name w:val="Outline Level 1"/>
    <w:basedOn w:val="Normal"/>
    <w:qFormat/>
    <w:pPr>
      <w:numPr>
        <w:ilvl w:val="0"/>
        <w:numId w:val="8"/>
      </w:numPr>
      <w:spacing w:before="0" w:after="240"/>
      <w:outlineLvl w:val="0"/>
    </w:pPr>
    <w:rPr/>
  </w:style>
  <w:style w:type="paragraph" w:styleId="OutlineLevel2">
    <w:name w:val="Outline Level 2"/>
    <w:basedOn w:val="OutlineLevel1"/>
    <w:qFormat/>
    <w:pPr>
      <w:numPr>
        <w:ilvl w:val="0"/>
        <w:numId w:val="8"/>
      </w:numPr>
      <w:outlineLvl w:val="1"/>
    </w:pPr>
    <w:rPr/>
  </w:style>
  <w:style w:type="paragraph" w:styleId="OutlineLevel3">
    <w:name w:val="Outline Level 3"/>
    <w:basedOn w:val="OutlineLevel2"/>
    <w:qFormat/>
    <w:pPr>
      <w:numPr>
        <w:ilvl w:val="0"/>
        <w:numId w:val="8"/>
      </w:numPr>
      <w:outlineLvl w:val="2"/>
    </w:pPr>
    <w:rPr/>
  </w:style>
  <w:style w:type="paragraph" w:styleId="OutlineLevel4">
    <w:name w:val="Outline Level 4"/>
    <w:basedOn w:val="OutlineLevel3"/>
    <w:qFormat/>
    <w:pPr>
      <w:numPr>
        <w:ilvl w:val="0"/>
        <w:numId w:val="8"/>
      </w:numPr>
      <w:outlineLvl w:val="3"/>
    </w:pPr>
    <w:rPr/>
  </w:style>
  <w:style w:type="paragraph" w:styleId="OutlineLevel5">
    <w:name w:val="Outline Level 5"/>
    <w:basedOn w:val="OutlineLevel4"/>
    <w:qFormat/>
    <w:pPr>
      <w:numPr>
        <w:ilvl w:val="0"/>
        <w:numId w:val="8"/>
      </w:numPr>
      <w:outlineLvl w:val="4"/>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2000-11-28T21:25:00Z</dcterms:created>
  <dc:creator>wbooth</dc:creator>
  <dc:description/>
  <dc:language>en-CA</dc:language>
  <cp:lastModifiedBy>Carol Figueroa</cp:lastModifiedBy>
  <cp:lastPrinted>2000-11-28T15:26:00Z</cp:lastPrinted>
  <dcterms:modified xsi:type="dcterms:W3CDTF">2000-11-28T21:25:00Z</dcterms:modified>
  <cp:revision>2</cp:revision>
  <dc:subject/>
  <dc:title>CLECA Thoughts on Possible Modifications to the </dc:title>
</cp:coreProperties>
</file>