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/mnt/main-storage/datasets/enron-docs/doc/CITYPublicServiceSanAntonio-44438ecf2f175f62ec968d2831402ab6ec8a64ad8af747308100a701c6a0b76c.doc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(iii) its obligations to make payments hereunder are unsubordinated obligations and such payments are operating and maintenance costs which enjoy first priority of payment at all times under any and all indentures to which it is a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bCs/>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bCs/>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bCs/>
          <w:sz w:val="18"/>
          <w:vertAlign w:val="superscript"/>
        </w:rPr>
        <w:t>th</w:t>
      </w:r>
      <w:r>
        <w:rPr>
          <w:rFonts w:cs="Arial Narrow" w:ascii="Arial Narrow" w:hAnsi="Arial Narrow"/>
          <w:bCs/>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2000-11-01T20:42:00Z</dcterms:created>
  <dc:creator>dperlin</dc:creator>
  <dc:description/>
  <dc:language>en-CA</dc:language>
  <cp:lastModifiedBy>dhyvl</cp:lastModifiedBy>
  <cp:lastPrinted>1999-10-14T14:35:00Z</cp:lastPrinted>
  <dcterms:modified xsi:type="dcterms:W3CDTF">2000-11-01T20:42:00Z</dcterms:modified>
  <cp:revision>2</cp:revision>
  <dc:subject/>
  <dc:title>ENFOLIO® MASTER FIRM PURCHASE/SALE AGREEMENT</dc:title>
</cp:coreProperties>
</file>