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California ISO’s Comments on FERC’s 11/1/00 Order</w:t>
      </w:r>
    </w:p>
    <w:p>
      <w:pPr>
        <w:pStyle w:val="Normal"/>
        <w:rPr>
          <w:sz w:val="22"/>
        </w:rPr>
      </w:pPr>
      <w:r>
        <w:rPr>
          <w:sz w:val="22"/>
        </w:rPr>
      </w:r>
    </w:p>
    <w:p>
      <w:pPr>
        <w:pStyle w:val="BodyText"/>
        <w:rPr>
          <w:sz w:val="22"/>
        </w:rPr>
      </w:pPr>
      <w:r>
        <w:rPr>
          <w:sz w:val="22"/>
        </w:rPr>
        <w:t>In general, the ISO is advocating much command and control of the market.  It is suggesting the following.</w:t>
      </w:r>
    </w:p>
    <w:p>
      <w:pPr>
        <w:pStyle w:val="Normal"/>
        <w:numPr>
          <w:ilvl w:val="0"/>
          <w:numId w:val="1"/>
        </w:numPr>
        <w:rPr>
          <w:b/>
          <w:sz w:val="22"/>
        </w:rPr>
      </w:pPr>
      <w:r>
        <w:rPr>
          <w:b/>
          <w:sz w:val="22"/>
        </w:rPr>
        <w:t>Market Power Mitigation</w:t>
      </w:r>
      <w:r>
        <w:rPr>
          <w:sz w:val="22"/>
        </w:rPr>
        <w:t xml:space="preserve"> </w:t>
      </w:r>
      <w:r>
        <w:rPr>
          <w:b/>
          <w:sz w:val="22"/>
        </w:rPr>
        <w:t xml:space="preserve">Plan </w:t>
      </w:r>
      <w:r>
        <w:rPr>
          <w:sz w:val="22"/>
        </w:rPr>
        <w:t xml:space="preserve">– FERC’s Order proposed a $150 “soft” price cap but would allow suppliers to bid over $150 if they weekly file either their supporting embedded costs or opportunity costs with FERC.  </w:t>
      </w:r>
    </w:p>
    <w:p>
      <w:pPr>
        <w:pStyle w:val="Normal"/>
        <w:ind w:firstLine="360" w:end="0"/>
        <w:rPr>
          <w:b/>
          <w:sz w:val="22"/>
        </w:rPr>
      </w:pPr>
      <w:r>
        <w:rPr>
          <w:sz w:val="22"/>
        </w:rPr>
        <w:t xml:space="preserve">The ISO opposed this bilateral proposal, for numerous reasons.  It argued it would have to modify its Scheduling Infrastructure and Scheduling Applications software as well as its Settlement system, increasing the implementation time to approximately four months from the date work commences.  It also points out that it has three other software implementations pre-dating this one. </w:t>
      </w:r>
      <w:r>
        <w:rPr>
          <w:rStyle w:val="FootnoteCharacters"/>
          <w:rStyle w:val="FootnoteReference"/>
          <w:sz w:val="22"/>
        </w:rPr>
        <w:footnoteReference w:id="2"/>
      </w:r>
      <w:r>
        <w:rPr>
          <w:sz w:val="22"/>
        </w:rPr>
        <w:t xml:space="preserve">  In lieu of FERC’s proposal, the ISO proposes the following:</w:t>
      </w:r>
    </w:p>
    <w:p>
      <w:pPr>
        <w:pStyle w:val="Normal"/>
        <w:numPr>
          <w:ilvl w:val="0"/>
          <w:numId w:val="1"/>
        </w:numPr>
        <w:tabs>
          <w:tab w:val="left" w:pos="720" w:leader="none"/>
        </w:tabs>
        <w:ind w:hanging="360" w:start="720" w:end="0"/>
        <w:rPr>
          <w:b/>
          <w:sz w:val="22"/>
        </w:rPr>
      </w:pPr>
      <w:r>
        <w:rPr>
          <w:sz w:val="22"/>
        </w:rPr>
        <w:t xml:space="preserve">Require suppliers to supply a significant portion of their generation capacity under a 24-month contract to ISO load serving entities (LSE) at a fixed just and reasonable rate.  It proposes two options for this contract.  </w:t>
      </w:r>
    </w:p>
    <w:p>
      <w:pPr>
        <w:pStyle w:val="Normal"/>
        <w:numPr>
          <w:ilvl w:val="0"/>
          <w:numId w:val="1"/>
        </w:numPr>
        <w:tabs>
          <w:tab w:val="clear" w:pos="720"/>
          <w:tab w:val="left" w:pos="1080" w:leader="none"/>
        </w:tabs>
        <w:ind w:hanging="360" w:start="1080" w:end="0"/>
        <w:rPr>
          <w:b/>
          <w:sz w:val="22"/>
        </w:rPr>
      </w:pPr>
      <w:r>
        <w:rPr>
          <w:b/>
          <w:sz w:val="22"/>
        </w:rPr>
        <w:t>Option A</w:t>
      </w:r>
      <w:r>
        <w:rPr>
          <w:sz w:val="22"/>
        </w:rPr>
        <w:t xml:space="preserve"> - In-state generator/marketers would be required to enter into forward contracts with ISO LSE for 70 % of the megawatts of generation capacity owned in California.  Bilateral contracts priced at or below the applicable “safe-harbor” benchmark for base-load, intermediate and peaking units would be deemed just and reasonable by regulators. That generator would then be allowed to sell the remainder of its output at market-based rates subject to a $250 “damage control cap.” Renewables, 10 MW units or smaller, incremental supply, and imports from out-of-state (to the extent they exceed firm exports) would be exempt from these rules.</w:t>
      </w:r>
    </w:p>
    <w:p>
      <w:pPr>
        <w:pStyle w:val="Normal"/>
        <w:numPr>
          <w:ilvl w:val="0"/>
          <w:numId w:val="1"/>
        </w:numPr>
        <w:tabs>
          <w:tab w:val="clear" w:pos="720"/>
          <w:tab w:val="left" w:pos="1080" w:leader="none"/>
        </w:tabs>
        <w:ind w:hanging="360" w:start="1080" w:end="0"/>
        <w:rPr>
          <w:b/>
          <w:sz w:val="22"/>
        </w:rPr>
      </w:pPr>
      <w:r>
        <w:rPr>
          <w:b/>
          <w:sz w:val="22"/>
        </w:rPr>
        <w:t>Option B</w:t>
      </w:r>
      <w:r>
        <w:rPr>
          <w:sz w:val="22"/>
        </w:rPr>
        <w:t xml:space="preserve"> – Each generator/marketer doing business in California would be required to offer in the PX forward market the percentage of its portfolio necessary to satisfy the core load requirements of LSEs at a competitive benchmark price as a 24-month contract.  The offer would be available for a 30-day period beginning January 1, 2001.  The price would be based on an analysis of the market and competitive market benchmark price (marginal cost of the highest cost unit needed to meet system load) calculated for the summer of 2000.  Units not able to recover costs would be eligible for a cost-based rate but would not set the market-clearing price.  Excess generation could be sold at market based rates subject to the $250 cap.  New generation would be exempt.  Any generator/marketer would be free to reject the mandatory requirement in favor of cost-of service rates applicable to its entire portfolio.  </w:t>
      </w:r>
    </w:p>
    <w:p>
      <w:pPr>
        <w:pStyle w:val="Normal"/>
        <w:numPr>
          <w:ilvl w:val="0"/>
          <w:numId w:val="1"/>
        </w:numPr>
        <w:tabs>
          <w:tab w:val="clear" w:pos="720"/>
          <w:tab w:val="left" w:pos="1080" w:leader="none"/>
        </w:tabs>
        <w:ind w:hanging="360" w:start="1080" w:end="0"/>
        <w:rPr>
          <w:b/>
          <w:sz w:val="22"/>
        </w:rPr>
      </w:pPr>
      <w:r>
        <w:rPr>
          <w:sz w:val="22"/>
        </w:rPr>
        <w:t>Other elements of both options</w:t>
      </w:r>
    </w:p>
    <w:p>
      <w:pPr>
        <w:pStyle w:val="Normal"/>
        <w:numPr>
          <w:ilvl w:val="0"/>
          <w:numId w:val="1"/>
        </w:numPr>
        <w:tabs>
          <w:tab w:val="clear" w:pos="720"/>
          <w:tab w:val="left" w:pos="1440" w:leader="none"/>
        </w:tabs>
        <w:ind w:hanging="360" w:start="1440" w:end="0"/>
        <w:rPr>
          <w:b/>
          <w:sz w:val="22"/>
        </w:rPr>
      </w:pPr>
      <w:r>
        <w:rPr>
          <w:sz w:val="22"/>
        </w:rPr>
        <w:t>Demand side not subject to the cap</w:t>
      </w:r>
    </w:p>
    <w:p>
      <w:pPr>
        <w:pStyle w:val="Normal"/>
        <w:numPr>
          <w:ilvl w:val="0"/>
          <w:numId w:val="1"/>
        </w:numPr>
        <w:tabs>
          <w:tab w:val="clear" w:pos="720"/>
          <w:tab w:val="left" w:pos="1440" w:leader="none"/>
        </w:tabs>
        <w:ind w:hanging="360" w:start="1440" w:end="0"/>
        <w:rPr>
          <w:b/>
          <w:sz w:val="22"/>
        </w:rPr>
      </w:pPr>
      <w:r>
        <w:rPr>
          <w:sz w:val="22"/>
        </w:rPr>
        <w:t>Replacement reserve that is dispatched to supply energy to the market could be paid the higher of the real time energy price or the capacity price</w:t>
      </w:r>
    </w:p>
    <w:p>
      <w:pPr>
        <w:pStyle w:val="Normal"/>
        <w:numPr>
          <w:ilvl w:val="0"/>
          <w:numId w:val="1"/>
        </w:numPr>
        <w:tabs>
          <w:tab w:val="clear" w:pos="720"/>
          <w:tab w:val="left" w:pos="1440" w:leader="none"/>
        </w:tabs>
        <w:ind w:hanging="360" w:start="1440" w:end="0"/>
        <w:rPr>
          <w:b/>
          <w:sz w:val="22"/>
        </w:rPr>
      </w:pPr>
      <w:r>
        <w:rPr>
          <w:sz w:val="22"/>
        </w:rPr>
        <w:t>The ISO could still make OOM calls.</w:t>
      </w:r>
    </w:p>
    <w:p>
      <w:pPr>
        <w:pStyle w:val="Normal"/>
        <w:numPr>
          <w:ilvl w:val="0"/>
          <w:numId w:val="1"/>
        </w:numPr>
        <w:tabs>
          <w:tab w:val="clear" w:pos="720"/>
          <w:tab w:val="left" w:pos="1080" w:leader="none"/>
        </w:tabs>
        <w:ind w:hanging="360" w:start="1080" w:end="0"/>
        <w:rPr>
          <w:b/>
          <w:sz w:val="22"/>
        </w:rPr>
      </w:pPr>
      <w:r>
        <w:rPr>
          <w:sz w:val="22"/>
        </w:rPr>
        <w:t xml:space="preserve">The ISO’s proposal would take up to six months </w:t>
      </w:r>
    </w:p>
    <w:p>
      <w:pPr>
        <w:pStyle w:val="Normal"/>
        <w:numPr>
          <w:ilvl w:val="0"/>
          <w:numId w:val="1"/>
        </w:numPr>
        <w:tabs>
          <w:tab w:val="clear" w:pos="720"/>
          <w:tab w:val="left" w:pos="1080" w:leader="none"/>
        </w:tabs>
        <w:ind w:hanging="360" w:start="1080" w:end="0"/>
        <w:rPr>
          <w:sz w:val="22"/>
        </w:rPr>
      </w:pPr>
      <w:r>
        <w:rPr>
          <w:sz w:val="22"/>
        </w:rPr>
        <w:t xml:space="preserve">It also proposes a single price throughout the Western region.  </w:t>
      </w:r>
    </w:p>
    <w:p>
      <w:pPr>
        <w:pStyle w:val="Normal"/>
        <w:numPr>
          <w:ilvl w:val="0"/>
          <w:numId w:val="1"/>
        </w:numPr>
        <w:rPr>
          <w:sz w:val="22"/>
        </w:rPr>
      </w:pPr>
      <w:r>
        <w:rPr>
          <w:b/>
          <w:sz w:val="22"/>
        </w:rPr>
        <w:t xml:space="preserve">Underscheduling – </w:t>
      </w:r>
      <w:r>
        <w:rPr>
          <w:sz w:val="22"/>
        </w:rPr>
        <w:t>The ISO argued that the FERC should penalize generation as well as supply for underscheduling.  Implementation of an excess deviation penalty would take four months from the date work commences.  The ISO proposes the following alternative approach.</w:t>
      </w:r>
    </w:p>
    <w:p>
      <w:pPr>
        <w:pStyle w:val="Normal"/>
        <w:numPr>
          <w:ilvl w:val="0"/>
          <w:numId w:val="1"/>
        </w:numPr>
        <w:tabs>
          <w:tab w:val="left" w:pos="720" w:leader="none"/>
        </w:tabs>
        <w:ind w:hanging="360" w:start="720" w:end="0"/>
        <w:rPr>
          <w:sz w:val="22"/>
        </w:rPr>
      </w:pPr>
      <w:r>
        <w:rPr>
          <w:sz w:val="22"/>
        </w:rPr>
        <w:t>LSEs should be required to forward contract for no less than 85% of load through October 15, 2002.  They should include capacity they own – thus a somewhat reduced obligation of 70% on in-state supply would be appropriate.</w:t>
      </w:r>
    </w:p>
    <w:p>
      <w:pPr>
        <w:pStyle w:val="Normal"/>
        <w:numPr>
          <w:ilvl w:val="0"/>
          <w:numId w:val="1"/>
        </w:numPr>
        <w:tabs>
          <w:tab w:val="left" w:pos="720" w:leader="none"/>
        </w:tabs>
        <w:ind w:hanging="360" w:start="720" w:end="0"/>
        <w:rPr>
          <w:sz w:val="22"/>
        </w:rPr>
      </w:pPr>
      <w:r>
        <w:rPr>
          <w:sz w:val="22"/>
        </w:rPr>
        <w:t>Real time charge assessed against both load and gen that fails to schedule 95% of actual metered consumption and supply in their final hour-ahead schedule.  The charge would start at $10 for instructed deviations and $50 for both uninstructed and out-of-market purchases with ISO authority to increase either charge as shown by experience to be advisable.  10 MW deadband.  Disperse these charges to scheduling coordinators that met the 95% scheduling requirement.</w:t>
      </w:r>
    </w:p>
    <w:p>
      <w:pPr>
        <w:pStyle w:val="Normal"/>
        <w:numPr>
          <w:ilvl w:val="0"/>
          <w:numId w:val="1"/>
        </w:numPr>
        <w:tabs>
          <w:tab w:val="left" w:pos="720" w:leader="none"/>
        </w:tabs>
        <w:ind w:hanging="360" w:start="720" w:end="0"/>
        <w:rPr>
          <w:sz w:val="22"/>
        </w:rPr>
      </w:pPr>
      <w:r>
        <w:rPr>
          <w:sz w:val="22"/>
        </w:rPr>
        <w:t>OOM costs charged to underscheduled load, adjusting for any real-time dispatch instructions.</w:t>
      </w:r>
    </w:p>
    <w:p>
      <w:pPr>
        <w:pStyle w:val="Normal"/>
        <w:numPr>
          <w:ilvl w:val="0"/>
          <w:numId w:val="1"/>
        </w:numPr>
        <w:tabs>
          <w:tab w:val="left" w:pos="720" w:leader="none"/>
        </w:tabs>
        <w:ind w:hanging="360" w:start="720" w:end="0"/>
        <w:rPr>
          <w:sz w:val="22"/>
        </w:rPr>
      </w:pPr>
      <w:r>
        <w:rPr>
          <w:sz w:val="22"/>
        </w:rPr>
        <w:t>Implementation would take four months from the date work is commenced.</w:t>
      </w:r>
    </w:p>
    <w:p>
      <w:pPr>
        <w:pStyle w:val="Normal"/>
        <w:numPr>
          <w:ilvl w:val="0"/>
          <w:numId w:val="1"/>
        </w:numPr>
        <w:rPr>
          <w:sz w:val="22"/>
        </w:rPr>
      </w:pPr>
      <w:r>
        <w:rPr>
          <w:b/>
          <w:sz w:val="22"/>
        </w:rPr>
        <w:t>Congestion Management Redesign</w:t>
      </w:r>
      <w:r>
        <w:rPr>
          <w:sz w:val="22"/>
        </w:rPr>
        <w:t xml:space="preserve"> – ISO did not comment.</w:t>
      </w:r>
    </w:p>
    <w:p>
      <w:pPr>
        <w:pStyle w:val="Normal"/>
        <w:numPr>
          <w:ilvl w:val="0"/>
          <w:numId w:val="1"/>
        </w:numPr>
        <w:rPr>
          <w:sz w:val="22"/>
        </w:rPr>
      </w:pPr>
      <w:r>
        <w:rPr>
          <w:b/>
          <w:sz w:val="22"/>
        </w:rPr>
        <w:t>Locational Market Power Mitigation</w:t>
      </w:r>
      <w:r>
        <w:rPr>
          <w:sz w:val="22"/>
        </w:rPr>
        <w:t xml:space="preserve"> – This mitigation should be permanent – as long as there are local transmission constraints that require the services of location-specific resources to ensure reliability in areas were there is no workable competition for these services.</w:t>
      </w:r>
    </w:p>
    <w:p>
      <w:pPr>
        <w:pStyle w:val="Normal"/>
        <w:numPr>
          <w:ilvl w:val="0"/>
          <w:numId w:val="1"/>
        </w:numPr>
        <w:rPr>
          <w:sz w:val="22"/>
        </w:rPr>
      </w:pPr>
      <w:r>
        <w:rPr>
          <w:b/>
          <w:sz w:val="22"/>
        </w:rPr>
        <w:t>Governance</w:t>
      </w:r>
      <w:r>
        <w:rPr>
          <w:sz w:val="22"/>
        </w:rPr>
        <w:t xml:space="preserve"> – FERC’s Order proposed an independent board.  The ISO argues that </w:t>
      </w:r>
    </w:p>
    <w:p>
      <w:pPr>
        <w:pStyle w:val="Normal"/>
        <w:numPr>
          <w:ilvl w:val="0"/>
          <w:numId w:val="1"/>
        </w:numPr>
        <w:tabs>
          <w:tab w:val="left" w:pos="720" w:leader="none"/>
        </w:tabs>
        <w:ind w:hanging="360" w:start="720" w:end="0"/>
        <w:rPr>
          <w:sz w:val="22"/>
        </w:rPr>
      </w:pPr>
      <w:r>
        <w:rPr>
          <w:sz w:val="22"/>
        </w:rPr>
        <w:t xml:space="preserve">This new structure must provide for state participation through advisory committees or other creative solutions. </w:t>
      </w:r>
    </w:p>
    <w:p>
      <w:pPr>
        <w:pStyle w:val="Normal"/>
        <w:numPr>
          <w:ilvl w:val="0"/>
          <w:numId w:val="1"/>
        </w:numPr>
        <w:tabs>
          <w:tab w:val="left" w:pos="720" w:leader="none"/>
        </w:tabs>
        <w:ind w:hanging="360" w:start="720" w:end="0"/>
        <w:rPr>
          <w:sz w:val="22"/>
        </w:rPr>
      </w:pPr>
      <w:r>
        <w:rPr>
          <w:sz w:val="22"/>
        </w:rPr>
        <w:t xml:space="preserve">The proposal conflicts with California statutes and suggests that conflict be resolved through agreement of all concerned.  </w:t>
      </w:r>
    </w:p>
    <w:p>
      <w:pPr>
        <w:pStyle w:val="Normal"/>
        <w:numPr>
          <w:ilvl w:val="0"/>
          <w:numId w:val="1"/>
        </w:numPr>
        <w:tabs>
          <w:tab w:val="left" w:pos="720" w:leader="none"/>
        </w:tabs>
        <w:ind w:hanging="360" w:start="720" w:end="0"/>
        <w:rPr>
          <w:sz w:val="22"/>
        </w:rPr>
      </w:pPr>
      <w:r>
        <w:rPr>
          <w:sz w:val="22"/>
        </w:rPr>
        <w:t>Without changes to this legislation, actions by a new independent Board might be challenged as taken by a Board not properly seated under state law. Accordingly, the ISO believes this proposal may take more than ninety days to implement.</w:t>
      </w:r>
    </w:p>
    <w:p>
      <w:pPr>
        <w:pStyle w:val="Normal"/>
        <w:numPr>
          <w:ilvl w:val="0"/>
          <w:numId w:val="1"/>
        </w:numPr>
        <w:rPr>
          <w:b/>
          <w:sz w:val="22"/>
        </w:rPr>
      </w:pPr>
      <w:r>
        <w:rPr>
          <w:b/>
          <w:sz w:val="22"/>
        </w:rPr>
        <w:t>Miscellaneous</w:t>
      </w:r>
    </w:p>
    <w:p>
      <w:pPr>
        <w:pStyle w:val="Normal"/>
        <w:numPr>
          <w:ilvl w:val="0"/>
          <w:numId w:val="1"/>
        </w:numPr>
        <w:tabs>
          <w:tab w:val="left" w:pos="720" w:leader="none"/>
        </w:tabs>
        <w:ind w:hanging="360" w:start="720" w:end="0"/>
        <w:rPr>
          <w:b/>
          <w:sz w:val="22"/>
        </w:rPr>
      </w:pPr>
      <w:r>
        <w:rPr>
          <w:b/>
          <w:sz w:val="22"/>
        </w:rPr>
        <w:t xml:space="preserve">Load Management - </w:t>
      </w:r>
      <w:r>
        <w:rPr>
          <w:sz w:val="22"/>
        </w:rPr>
        <w:t>ISO intends to introduce a program for the aggregation of small loads that are willing to curtail.  It needs the CPUC to permit loads to participate in ancillary services solicitations.</w:t>
      </w:r>
    </w:p>
    <w:p>
      <w:pPr>
        <w:pStyle w:val="Normal"/>
        <w:numPr>
          <w:ilvl w:val="0"/>
          <w:numId w:val="1"/>
        </w:numPr>
        <w:tabs>
          <w:tab w:val="left" w:pos="720" w:leader="none"/>
        </w:tabs>
        <w:ind w:hanging="360" w:start="720" w:end="0"/>
        <w:rPr>
          <w:b/>
          <w:sz w:val="22"/>
        </w:rPr>
      </w:pPr>
      <w:r>
        <w:rPr>
          <w:b/>
          <w:sz w:val="22"/>
        </w:rPr>
        <w:t xml:space="preserve">Examination of Market Rules – </w:t>
      </w:r>
      <w:r>
        <w:rPr>
          <w:sz w:val="22"/>
        </w:rPr>
        <w:t>It hopes to impose such rules sooner than over the next 24-month period.</w:t>
      </w:r>
    </w:p>
    <w:p>
      <w:pPr>
        <w:pStyle w:val="Normal"/>
        <w:numPr>
          <w:ilvl w:val="0"/>
          <w:numId w:val="1"/>
        </w:numPr>
        <w:tabs>
          <w:tab w:val="left" w:pos="720" w:leader="none"/>
        </w:tabs>
        <w:ind w:hanging="360" w:start="720" w:end="0"/>
        <w:rPr>
          <w:b/>
          <w:sz w:val="22"/>
        </w:rPr>
      </w:pPr>
      <w:r>
        <w:rPr>
          <w:b/>
          <w:sz w:val="22"/>
        </w:rPr>
        <w:t xml:space="preserve">To Ensure reliability – </w:t>
      </w:r>
      <w:r>
        <w:rPr>
          <w:sz w:val="22"/>
        </w:rPr>
        <w:t>It may be necessary to</w:t>
      </w:r>
    </w:p>
    <w:p>
      <w:pPr>
        <w:pStyle w:val="Normal"/>
        <w:numPr>
          <w:ilvl w:val="0"/>
          <w:numId w:val="1"/>
        </w:numPr>
        <w:tabs>
          <w:tab w:val="clear" w:pos="720"/>
          <w:tab w:val="left" w:pos="1080" w:leader="none"/>
        </w:tabs>
        <w:ind w:hanging="360" w:start="1080" w:end="0"/>
        <w:rPr>
          <w:sz w:val="22"/>
        </w:rPr>
      </w:pPr>
      <w:r>
        <w:rPr>
          <w:sz w:val="22"/>
        </w:rPr>
        <w:t>Establish a reserve requirement for LSEs</w:t>
      </w:r>
    </w:p>
    <w:p>
      <w:pPr>
        <w:pStyle w:val="Normal"/>
        <w:numPr>
          <w:ilvl w:val="0"/>
          <w:numId w:val="1"/>
        </w:numPr>
        <w:tabs>
          <w:tab w:val="clear" w:pos="720"/>
          <w:tab w:val="left" w:pos="1080" w:leader="none"/>
        </w:tabs>
        <w:ind w:hanging="360" w:start="1080" w:end="0"/>
        <w:rPr>
          <w:sz w:val="22"/>
        </w:rPr>
      </w:pPr>
      <w:r>
        <w:rPr>
          <w:sz w:val="22"/>
        </w:rPr>
        <w:t>Require that existing generation satisfy certain availability standards and coordinate with the ISO on their maintenance practices and schedules</w:t>
      </w:r>
    </w:p>
    <w:p>
      <w:pPr>
        <w:pStyle w:val="Normal"/>
        <w:numPr>
          <w:ilvl w:val="0"/>
          <w:numId w:val="1"/>
        </w:numPr>
        <w:tabs>
          <w:tab w:val="clear" w:pos="720"/>
          <w:tab w:val="left" w:pos="1080" w:leader="none"/>
        </w:tabs>
        <w:ind w:hanging="360" w:start="1080" w:end="0"/>
        <w:rPr>
          <w:b/>
          <w:sz w:val="24"/>
        </w:rPr>
      </w:pPr>
      <w:r>
        <w:rPr>
          <w:sz w:val="22"/>
        </w:rPr>
        <w:t>Enhance existing enforcement programs</w:t>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These software implementations are unbundling the ISO grid management charge, the revised transmission access charge and the FERC’s new annual charge methodology.</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2000-11-28T14:02:00Z</dcterms:created>
  <dc:creator>mhain</dc:creator>
  <dc:description/>
  <dc:language>en-CA</dc:language>
  <cp:lastModifiedBy>mhain</cp:lastModifiedBy>
  <cp:lastPrinted>2000-11-28T13:28:00Z</cp:lastPrinted>
  <dcterms:modified xsi:type="dcterms:W3CDTF">2000-11-28T19:24:00Z</dcterms:modified>
  <cp:revision>2</cp:revision>
  <dc:subject/>
  <dc:title>California ISO’s Comments on FERC’s 11/1/00 Order</dc:title>
</cp:coreProperties>
</file>