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CASH PAYMENT REQUEST</w:t>
      </w:r>
    </w:p>
    <w:p>
      <w:pPr>
        <w:pStyle w:val="Normal"/>
        <w:jc w:val="center"/>
        <w:rPr>
          <w:sz w:val="22"/>
        </w:rPr>
      </w:pPr>
      <w:r>
        <w:rPr>
          <w:sz w:val="22"/>
        </w:rPr>
      </w:r>
    </w:p>
    <w:p>
      <w:pPr>
        <w:pStyle w:val="Normal"/>
        <w:jc w:val="both"/>
        <w:rPr>
          <w:sz w:val="22"/>
        </w:rPr>
      </w:pPr>
      <w:r>
        <w:rPr>
          <w:sz w:val="22"/>
        </w:rPr>
        <w:t>Project Name:</w:t>
        <w:tab/>
        <w:tab/>
        <w:tab/>
        <w:t>Duke Energy Field Services</w:t>
      </w:r>
    </w:p>
    <w:p>
      <w:pPr>
        <w:pStyle w:val="Normal"/>
        <w:jc w:val="both"/>
        <w:rPr>
          <w:sz w:val="22"/>
        </w:rPr>
      </w:pPr>
      <w:r>
        <w:rPr>
          <w:sz w:val="22"/>
        </w:rPr>
      </w:r>
    </w:p>
    <w:p>
      <w:pPr>
        <w:pStyle w:val="Normal"/>
        <w:jc w:val="both"/>
        <w:rPr>
          <w:sz w:val="22"/>
        </w:rPr>
      </w:pPr>
      <w:r>
        <w:rPr>
          <w:sz w:val="22"/>
        </w:rPr>
        <w:t>Entity Name:</w:t>
        <w:tab/>
        <w:tab/>
        <w:tab/>
        <w:t>Enron North America</w:t>
      </w:r>
    </w:p>
    <w:p>
      <w:pPr>
        <w:pStyle w:val="Normal"/>
        <w:jc w:val="both"/>
        <w:rPr>
          <w:sz w:val="22"/>
        </w:rPr>
      </w:pPr>
      <w:r>
        <w:rPr>
          <w:sz w:val="22"/>
        </w:rPr>
      </w:r>
    </w:p>
    <w:p>
      <w:pPr>
        <w:pStyle w:val="Normal"/>
        <w:jc w:val="both"/>
        <w:rPr>
          <w:sz w:val="22"/>
        </w:rPr>
      </w:pPr>
      <w:r>
        <w:rPr>
          <w:sz w:val="22"/>
        </w:rPr>
        <w:t>Entity Status:</w:t>
        <w:tab/>
        <w:tab/>
        <w:tab/>
        <w:t>Debtor</w:t>
      </w:r>
    </w:p>
    <w:p>
      <w:pPr>
        <w:pStyle w:val="Normal"/>
        <w:jc w:val="both"/>
        <w:rPr>
          <w:sz w:val="22"/>
        </w:rPr>
      </w:pPr>
      <w:r>
        <w:rPr>
          <w:sz w:val="22"/>
        </w:rPr>
      </w:r>
    </w:p>
    <w:p>
      <w:pPr>
        <w:pStyle w:val="Normal"/>
        <w:jc w:val="both"/>
        <w:rPr>
          <w:sz w:val="22"/>
        </w:rPr>
      </w:pPr>
      <w:r>
        <w:rPr>
          <w:sz w:val="22"/>
        </w:rPr>
        <w:t>Commercial Contact:</w:t>
        <w:tab/>
        <w:tab/>
        <w:t>Joe Parks - 713-853-9636</w:t>
      </w:r>
    </w:p>
    <w:p>
      <w:pPr>
        <w:pStyle w:val="Normal"/>
        <w:jc w:val="both"/>
        <w:rPr>
          <w:sz w:val="22"/>
        </w:rPr>
      </w:pPr>
      <w:r>
        <w:rPr>
          <w:sz w:val="22"/>
        </w:rPr>
        <w:tab/>
      </w:r>
    </w:p>
    <w:p>
      <w:pPr>
        <w:pStyle w:val="Normal"/>
        <w:jc w:val="both"/>
        <w:rPr>
          <w:sz w:val="22"/>
        </w:rPr>
      </w:pPr>
      <w:r>
        <w:rPr>
          <w:sz w:val="22"/>
        </w:rPr>
        <w:t>Accounting Contact:</w:t>
        <w:tab/>
        <w:tab/>
      </w:r>
    </w:p>
    <w:p>
      <w:pPr>
        <w:pStyle w:val="Normal"/>
        <w:jc w:val="both"/>
        <w:rPr>
          <w:sz w:val="22"/>
        </w:rPr>
      </w:pPr>
      <w:r>
        <w:rPr>
          <w:sz w:val="22"/>
        </w:rPr>
      </w:r>
    </w:p>
    <w:p>
      <w:pPr>
        <w:pStyle w:val="Normal"/>
        <w:jc w:val="both"/>
        <w:rPr>
          <w:sz w:val="22"/>
        </w:rPr>
      </w:pPr>
      <w:r>
        <w:rPr>
          <w:sz w:val="22"/>
        </w:rPr>
        <w:t>Underwriting Contact:</w:t>
        <w:tab/>
        <w:tab/>
        <w:t>N/A</w:t>
      </w:r>
    </w:p>
    <w:p>
      <w:pPr>
        <w:pStyle w:val="Normal"/>
        <w:jc w:val="both"/>
        <w:rPr>
          <w:sz w:val="22"/>
        </w:rPr>
      </w:pPr>
      <w:r>
        <w:rPr>
          <w:sz w:val="22"/>
        </w:rPr>
      </w:r>
    </w:p>
    <w:p>
      <w:pPr>
        <w:pStyle w:val="Normal"/>
        <w:jc w:val="both"/>
        <w:rPr>
          <w:sz w:val="22"/>
        </w:rPr>
      </w:pPr>
      <w:r>
        <w:rPr>
          <w:sz w:val="22"/>
        </w:rPr>
        <w:t>Payment Amount:</w:t>
        <w:tab/>
        <w:tab/>
        <w:t>$ 293,543</w:t>
      </w:r>
    </w:p>
    <w:p>
      <w:pPr>
        <w:pStyle w:val="Normal"/>
        <w:jc w:val="both"/>
        <w:rPr>
          <w:sz w:val="22"/>
        </w:rPr>
      </w:pPr>
      <w:r>
        <w:rPr>
          <w:sz w:val="22"/>
        </w:rPr>
        <w:tab/>
        <w:tab/>
        <w:tab/>
        <w:tab/>
        <w:tab/>
        <w:tab/>
      </w:r>
    </w:p>
    <w:p>
      <w:pPr>
        <w:pStyle w:val="Normal"/>
        <w:jc w:val="both"/>
        <w:rPr>
          <w:sz w:val="22"/>
        </w:rPr>
      </w:pPr>
      <w:r>
        <w:rPr>
          <w:sz w:val="22"/>
        </w:rPr>
        <w:t>Date of Invoice:</w:t>
        <w:tab/>
        <w:tab/>
        <w:tab/>
        <w:t>3/1/2002</w:t>
      </w:r>
    </w:p>
    <w:p>
      <w:pPr>
        <w:pStyle w:val="Normal"/>
        <w:jc w:val="both"/>
        <w:rPr>
          <w:sz w:val="22"/>
        </w:rPr>
      </w:pPr>
      <w:r>
        <w:rPr>
          <w:sz w:val="22"/>
        </w:rPr>
        <w:t>Date of Request:</w:t>
        <w:tab/>
        <w:tab/>
        <w:t>3/26/2002</w:t>
      </w:r>
    </w:p>
    <w:p>
      <w:pPr>
        <w:pStyle w:val="Normal"/>
        <w:jc w:val="both"/>
        <w:rPr>
          <w:sz w:val="22"/>
        </w:rPr>
      </w:pPr>
      <w:r>
        <w:rPr>
          <w:sz w:val="22"/>
        </w:rPr>
        <w:t>Date of Payment:</w:t>
        <w:tab/>
        <w:tab/>
        <w:t>3/26/2002</w:t>
      </w:r>
    </w:p>
    <w:p>
      <w:pPr>
        <w:pStyle w:val="Normal"/>
        <w:jc w:val="both"/>
        <w:rPr>
          <w:sz w:val="22"/>
        </w:rPr>
      </w:pPr>
      <w:r>
        <w:rPr>
          <w:sz w:val="22"/>
        </w:rPr>
      </w:r>
    </w:p>
    <w:p>
      <w:pPr>
        <w:pStyle w:val="Normal"/>
        <w:jc w:val="both"/>
        <w:rPr>
          <w:sz w:val="22"/>
        </w:rPr>
      </w:pPr>
      <w:r>
        <w:rPr>
          <w:sz w:val="22"/>
        </w:rPr>
        <w:t>Source of Funds:</w:t>
        <w:tab/>
        <w:tab/>
        <w:tab/>
      </w:r>
    </w:p>
    <w:p>
      <w:pPr>
        <w:pStyle w:val="Heading1"/>
        <w:rPr>
          <w:sz w:val="22"/>
        </w:rPr>
      </w:pPr>
      <w:r>
        <w:rPr>
          <w:sz w:val="22"/>
        </w:rPr>
        <w:t>This payment is from Non-DIP funds</w:t>
      </w:r>
    </w:p>
    <w:p>
      <w:pPr>
        <w:pStyle w:val="Normal"/>
        <w:jc w:val="both"/>
        <w:rPr>
          <w:sz w:val="22"/>
        </w:rPr>
      </w:pPr>
      <w:r>
        <w:rPr>
          <w:sz w:val="22"/>
        </w:rPr>
        <w:tab/>
      </w:r>
    </w:p>
    <w:p>
      <w:pPr>
        <w:pStyle w:val="Normal"/>
        <w:jc w:val="both"/>
        <w:rPr>
          <w:sz w:val="22"/>
        </w:rPr>
      </w:pPr>
      <w:r>
        <w:rPr>
          <w:sz w:val="22"/>
        </w:rPr>
        <w:t>Payee:</w:t>
        <w:tab/>
        <w:tab/>
        <w:tab/>
        <w:tab/>
        <w:t>Duke Energy Field Services</w:t>
      </w:r>
    </w:p>
    <w:p>
      <w:pPr>
        <w:pStyle w:val="BodyTextIndent"/>
        <w:rPr>
          <w:sz w:val="22"/>
        </w:rPr>
      </w:pPr>
      <w:r>
        <w:rPr>
          <w:sz w:val="22"/>
        </w:rPr>
        <w:t>Obligation:</w:t>
        <w:tab/>
        <w:t>Post Petition</w:t>
        <w:tab/>
      </w:r>
    </w:p>
    <w:p>
      <w:pPr>
        <w:pStyle w:val="BodyTextIndent"/>
        <w:rPr>
          <w:sz w:val="22"/>
        </w:rPr>
      </w:pPr>
      <w:r>
        <w:rPr>
          <w:sz w:val="22"/>
        </w:rPr>
      </w:r>
    </w:p>
    <w:p>
      <w:pPr>
        <w:pStyle w:val="Normal"/>
        <w:jc w:val="both"/>
        <w:rPr>
          <w:sz w:val="22"/>
        </w:rPr>
      </w:pPr>
      <w:r>
        <w:rPr>
          <w:sz w:val="22"/>
        </w:rPr>
        <w:t>Wiring Instructions:</w:t>
        <w:tab/>
        <w:tab/>
        <w:t>Chase Manhattan Bank</w:t>
        <w:tab/>
      </w:r>
    </w:p>
    <w:p>
      <w:pPr>
        <w:pStyle w:val="Normal"/>
        <w:jc w:val="both"/>
        <w:rPr>
          <w:sz w:val="22"/>
        </w:rPr>
      </w:pPr>
      <w:r>
        <w:rPr>
          <w:sz w:val="22"/>
        </w:rPr>
        <w:tab/>
        <w:tab/>
        <w:tab/>
        <w:tab/>
        <w:t>New York, NY 10081</w:t>
      </w:r>
    </w:p>
    <w:p>
      <w:pPr>
        <w:pStyle w:val="Normal"/>
        <w:ind w:firstLine="720" w:start="2160" w:end="0"/>
        <w:jc w:val="both"/>
        <w:rPr>
          <w:sz w:val="22"/>
        </w:rPr>
      </w:pPr>
      <w:r>
        <w:rPr>
          <w:sz w:val="22"/>
        </w:rPr>
        <w:t>Bank Account # 910-2-771343</w:t>
      </w:r>
    </w:p>
    <w:p>
      <w:pPr>
        <w:pStyle w:val="Normal"/>
        <w:jc w:val="both"/>
        <w:rPr>
          <w:sz w:val="22"/>
        </w:rPr>
      </w:pPr>
      <w:r>
        <w:rPr>
          <w:sz w:val="22"/>
        </w:rPr>
        <w:tab/>
        <w:tab/>
        <w:tab/>
        <w:tab/>
        <w:t>ABA # 021 000 021</w:t>
      </w:r>
    </w:p>
    <w:p>
      <w:pPr>
        <w:pStyle w:val="BodyTextIndent"/>
        <w:rPr>
          <w:sz w:val="22"/>
        </w:rPr>
      </w:pPr>
      <w:r>
        <w:rPr>
          <w:sz w:val="22"/>
        </w:rPr>
      </w:r>
    </w:p>
    <w:p>
      <w:pPr>
        <w:pStyle w:val="BodyTextIndent"/>
        <w:rPr>
          <w:sz w:val="22"/>
        </w:rPr>
      </w:pPr>
      <w:r>
        <w:rPr>
          <w:sz w:val="22"/>
        </w:rPr>
        <w:t>Governing Agreement:</w:t>
        <w:tab/>
        <w:t>Verbal (have not signed contract)</w:t>
      </w:r>
    </w:p>
    <w:p>
      <w:pPr>
        <w:pStyle w:val="Normal"/>
        <w:ind w:hanging="2880" w:start="2880" w:end="0"/>
        <w:jc w:val="both"/>
        <w:rPr>
          <w:sz w:val="22"/>
        </w:rPr>
      </w:pPr>
      <w:r>
        <w:rPr>
          <w:sz w:val="22"/>
        </w:rPr>
      </w:r>
    </w:p>
    <w:p>
      <w:pPr>
        <w:pStyle w:val="Normal"/>
        <w:ind w:hanging="2160" w:start="2160" w:end="0"/>
        <w:rPr/>
      </w:pPr>
      <w:r>
        <w:rPr>
          <w:sz w:val="22"/>
        </w:rPr>
        <w:t>Business Purpose:</w:t>
        <w:tab/>
        <w:t xml:space="preserve">To pay for supply that was received Dec. 4-31, 2001 and delivered to a third party. </w:t>
      </w:r>
      <w:r>
        <w:rPr/>
        <w:t>ENA had a term supply contract with Energen, which Energen terminated on December the 4</w:t>
      </w:r>
      <w:r>
        <w:rPr>
          <w:vertAlign w:val="superscript"/>
        </w:rPr>
        <w:t xml:space="preserve">th, </w:t>
      </w:r>
      <w:r>
        <w:rPr/>
        <w:t>2001.  The operator for the supply, Duke Energy Field Services erroneously, allowed the supply to continue to flow, notwithstanding Energens instructions to the contract.  ENA also failed to remove its nomination for the supply and as a result the gas flowed to ENA’s market. While the original supply contract with Energen was priced at 2.60,  Duke Energy Field Services has invoiced us for the monthly volume 125,580 MBTUs at a price of $2.3375 (gas daily average for MRT West Leg).</w:t>
      </w:r>
    </w:p>
    <w:p>
      <w:pPr>
        <w:pStyle w:val="Normal"/>
        <w:ind w:hanging="2880" w:start="2880" w:end="0"/>
        <w:jc w:val="both"/>
        <w:rPr>
          <w:sz w:val="22"/>
        </w:rPr>
      </w:pPr>
      <w:r>
        <w:rPr>
          <w:sz w:val="22"/>
        </w:rPr>
      </w:r>
    </w:p>
    <w:p>
      <w:pPr>
        <w:pStyle w:val="Normal"/>
        <w:ind w:hanging="2880" w:start="2880" w:end="0"/>
        <w:jc w:val="both"/>
        <w:rPr>
          <w:sz w:val="22"/>
        </w:rPr>
      </w:pPr>
      <w:r>
        <w:rPr>
          <w:sz w:val="22"/>
        </w:rPr>
      </w:r>
    </w:p>
    <w:p>
      <w:pPr>
        <w:pStyle w:val="BodyTextIndent2"/>
        <w:ind w:hanging="2880" w:start="2880" w:end="0"/>
        <w:rPr>
          <w:sz w:val="22"/>
        </w:rPr>
      </w:pPr>
      <w:r>
        <w:rPr>
          <w:sz w:val="22"/>
        </w:rPr>
        <w:t>Economic Justification:</w:t>
        <w:tab/>
        <w:t>Centana has agreed to purchase ENA inventory in storage, if and only if, Duke Energy Field Services gets paid for the gas that was delivered in December.  Per legal, this amount is post petition and would have to been paid in any case.  The net effect of the Centana sale and Duke Energy Field Service’s payment will net approximately $2,500,000.</w:t>
      </w:r>
    </w:p>
    <w:p>
      <w:pPr>
        <w:pStyle w:val="BodyTextIndent2"/>
        <w:ind w:hanging="2880" w:start="2880" w:end="0"/>
        <w:rPr>
          <w:sz w:val="22"/>
        </w:rPr>
      </w:pPr>
      <w:r>
        <w:rPr>
          <w:sz w:val="22"/>
        </w:rPr>
      </w:r>
    </w:p>
    <w:p>
      <w:pPr>
        <w:pStyle w:val="BodyTextIndent2"/>
        <w:ind w:hanging="2880" w:start="2880" w:end="0"/>
        <w:rPr>
          <w:sz w:val="22"/>
        </w:rPr>
      </w:pPr>
      <w:r>
        <w:rPr>
          <w:sz w:val="22"/>
        </w:rPr>
        <w:t>Risks:</w:t>
        <w:tab/>
        <w:t>ENA currently has a little over 1BCF that is exposed to commodity risk.</w:t>
      </w:r>
    </w:p>
    <w:sectPr>
      <w:type w:val="nextPage"/>
      <w:pgSz w:w="12240" w:h="15840"/>
      <w:pgMar w:left="1440" w:right="144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2160" w:end="0"/>
      <w:jc w:val="both"/>
      <w:outlineLvl w:val="0"/>
    </w:pPr>
    <w:rPr>
      <w:b/>
      <w:bCs/>
      <w:i/>
      <w:iCs/>
      <w:bdr w:val="single" w:sz="4" w:space="0" w:color="00000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paragraph" w:styleId="BodyTextIndent2">
    <w:name w:val="Body Text Indent 2"/>
    <w:basedOn w:val="Normal"/>
    <w:qFormat/>
    <w:pPr>
      <w:ind w:hanging="720" w:start="360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2002-03-25T20:07:00Z</dcterms:created>
  <dc:creator>bredmon</dc:creator>
  <dc:description/>
  <dc:language>en-CA</dc:language>
  <cp:lastModifiedBy>jparks</cp:lastModifiedBy>
  <cp:lastPrinted>2002-03-26T08:15:00Z</cp:lastPrinted>
  <dcterms:modified xsi:type="dcterms:W3CDTF">2002-03-26T12:39:00Z</dcterms:modified>
  <cp:revision>8</cp:revision>
  <dc:subject/>
  <dc:title>CASH PAYMENT REQUEST</dc:title>
</cp:coreProperties>
</file>