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Heading1"/>
        <w:widowControl/>
        <w:ind w:hanging="0" w:start="0"/>
        <w:rPr/>
      </w:pPr>
      <w:r>
        <w:rPr/>
      </w:r>
    </w:p>
    <w:p>
      <w:pPr>
        <w:pStyle w:val="Heading1"/>
        <w:widowControl/>
        <w:ind w:hanging="0" w:start="0"/>
        <w:rPr/>
      </w:pPr>
      <w:r>
        <w:rPr/>
      </w:r>
    </w:p>
    <w:p>
      <w:pPr>
        <w:pStyle w:val="Heading1"/>
        <w:widowControl/>
        <w:ind w:hanging="0" w:start="0"/>
        <w:rPr/>
      </w:pPr>
      <w:r>
        <w:rPr/>
      </w:r>
    </w:p>
    <w:p>
      <w:pPr>
        <w:pStyle w:val="Heading1"/>
        <w:widowControl/>
        <w:ind w:hanging="0" w:start="0"/>
        <w:rPr/>
      </w:pPr>
      <w:r>
        <w:rPr/>
      </w:r>
    </w:p>
    <w:p>
      <w:pPr>
        <w:pStyle w:val="Heading1"/>
        <w:widowControl/>
        <w:ind w:hanging="0" w:start="0"/>
        <w:rPr/>
      </w:pPr>
      <w:r>
        <w:rPr/>
      </w:r>
    </w:p>
    <w:p>
      <w:pPr>
        <w:pStyle w:val="Heading1"/>
        <w:widowControl/>
        <w:ind w:hanging="0" w:start="0"/>
        <w:rPr/>
      </w:pPr>
      <w:r>
        <w:rPr/>
      </w:r>
    </w:p>
    <w:p>
      <w:pPr>
        <w:pStyle w:val="Heading1"/>
        <w:widowControl/>
        <w:ind w:hanging="0" w:start="0"/>
        <w:rPr/>
      </w:pPr>
      <w:r>
        <w:rPr/>
        <w:t>September 29,2000</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Heading2"/>
        <w:widowControl/>
        <w:ind w:hanging="0" w:start="0"/>
        <w:rPr/>
      </w:pPr>
      <w:r>
        <w:rPr/>
        <w:t>Mr. Frank Lindh</w:t>
      </w:r>
    </w:p>
    <w:p>
      <w:pPr>
        <w:pStyle w:val="Normal"/>
        <w:widowControl/>
        <w:jc w:val="both"/>
        <w:rPr/>
      </w:pPr>
      <w:r>
        <w:rPr/>
        <w:t>Pacific Gas &amp; Electric Company</w:t>
      </w:r>
    </w:p>
    <w:p>
      <w:pPr>
        <w:pStyle w:val="Normal"/>
        <w:widowControl/>
        <w:jc w:val="both"/>
        <w:rPr/>
      </w:pPr>
      <w:r>
        <w:rPr/>
        <w:t>P.O. Box 7442</w:t>
      </w:r>
    </w:p>
    <w:p>
      <w:pPr>
        <w:pStyle w:val="Normal"/>
        <w:widowControl/>
        <w:jc w:val="both"/>
        <w:rPr/>
      </w:pPr>
      <w:r>
        <w:rPr/>
        <w:t>San Francisco, CA  94120-7442</w:t>
      </w:r>
    </w:p>
    <w:p>
      <w:pPr>
        <w:pStyle w:val="Normal"/>
        <w:widowControl/>
        <w:jc w:val="both"/>
        <w:rPr/>
      </w:pPr>
      <w:r>
        <w:rPr/>
      </w:r>
    </w:p>
    <w:p>
      <w:pPr>
        <w:pStyle w:val="Normal"/>
        <w:widowControl/>
        <w:jc w:val="both"/>
        <w:rPr/>
      </w:pPr>
      <w:r>
        <w:rPr/>
        <w:t>RE:  Gas Accord II Settlement – CIPA Issues of Concern</w:t>
      </w:r>
    </w:p>
    <w:p>
      <w:pPr>
        <w:pStyle w:val="Normal"/>
        <w:widowControl/>
        <w:jc w:val="both"/>
        <w:rPr/>
      </w:pPr>
      <w:r>
        <w:rPr/>
      </w:r>
    </w:p>
    <w:p>
      <w:pPr>
        <w:pStyle w:val="Normal"/>
        <w:widowControl/>
        <w:jc w:val="both"/>
        <w:rPr/>
      </w:pPr>
      <w:r>
        <w:rPr/>
        <w:t>Dear Mr. Lindh:</w:t>
      </w:r>
    </w:p>
    <w:p>
      <w:pPr>
        <w:pStyle w:val="Normal"/>
        <w:widowControl/>
        <w:jc w:val="both"/>
        <w:rPr/>
      </w:pPr>
      <w:r>
        <w:rPr/>
      </w:r>
    </w:p>
    <w:p>
      <w:pPr>
        <w:pStyle w:val="BodyText"/>
        <w:widowControl/>
        <w:rPr/>
      </w:pPr>
      <w:r>
        <w:rPr/>
        <w:t>On behalf of the more than 450 member companies of the California Independent Petroleum Association (CIPA), I am writing to express our interest in participating in the Gas Accord II settlement process and to express our appreciation to PG&amp;E for the opportunity to participate in this process.</w:t>
      </w:r>
    </w:p>
    <w:p>
      <w:pPr>
        <w:pStyle w:val="Normal"/>
        <w:widowControl/>
        <w:rPr/>
      </w:pPr>
      <w:r>
        <w:rPr/>
      </w:r>
    </w:p>
    <w:p>
      <w:pPr>
        <w:pStyle w:val="Normal"/>
        <w:widowControl/>
        <w:rPr/>
      </w:pPr>
      <w:r>
        <w:rPr/>
        <w:t>By way of background, CIPA represents independent producers of oil and natural gas in California and the various service companies that work in conjunction with the production industry.  Although our association includes several larger independent producers, the majority of our membership is comprised of small and medium-sized family-owned businesses geared towards serving the California oil and gas industry.</w:t>
      </w:r>
    </w:p>
    <w:p>
      <w:pPr>
        <w:pStyle w:val="Normal"/>
        <w:widowControl/>
        <w:rPr/>
      </w:pPr>
      <w:r>
        <w:rPr/>
      </w:r>
    </w:p>
    <w:p>
      <w:pPr>
        <w:pStyle w:val="Normal"/>
        <w:widowControl/>
        <w:rPr/>
      </w:pPr>
      <w:r>
        <w:rPr/>
        <w:t>In entering into this process, it is important to first note that we believe serious consideration needs to be lent to the supply and delivery issues surrounding California’s gas producers. Although we recognize that the Gas Accord II process is focusing on the issues of concerns to end-users, we believe there is a direct correlation between the ability of PG&amp;E to provide reasonable assurances on issues of delivery and allowing our producers to provide the amount of gas needed to help meet these demands.  As demonstrated in the figures provided by PG&amp;E during the September 27</w:t>
      </w:r>
      <w:r>
        <w:rPr>
          <w:vertAlign w:val="superscript"/>
        </w:rPr>
        <w:t>th</w:t>
      </w:r>
      <w:r>
        <w:rPr/>
        <w:t xml:space="preserve"> workshop, there could be as much as a 1,060 MMcf/d shortfall in gas supplies in an abnormal peak day given the existing level of storage and pipeline delivery ability in the state.  These numbers are as much of a concern to the members of our association as they are to PG&amp;E and your customers.  California producers can, and should, play an integral role in helping address these serious issues if given the opportunity.</w:t>
      </w:r>
    </w:p>
    <w:p>
      <w:pPr>
        <w:pStyle w:val="Normal"/>
        <w:widowControl/>
        <w:rPr/>
      </w:pPr>
      <w:r>
        <w:rPr/>
      </w:r>
    </w:p>
    <w:p>
      <w:pPr>
        <w:pStyle w:val="Normal"/>
        <w:widowControl/>
        <w:rPr/>
      </w:pPr>
      <w:r>
        <w:rPr/>
      </w:r>
    </w:p>
    <w:p>
      <w:pPr>
        <w:pStyle w:val="Heading3"/>
        <w:widowControl/>
        <w:ind w:hanging="0" w:start="0"/>
        <w:rPr/>
      </w:pPr>
      <w:r>
        <w:rPr/>
        <w:t>Privileged and Confidential Work Product for Settlement Purposes</w:t>
      </w:r>
    </w:p>
    <w:p>
      <w:pPr>
        <w:pStyle w:val="Normal"/>
        <w:widowControl/>
        <w:rPr/>
      </w:pPr>
      <w:r>
        <w:rPr/>
      </w:r>
    </w:p>
    <w:p>
      <w:pPr>
        <w:pStyle w:val="Normal"/>
        <w:widowControl/>
        <w:rPr/>
      </w:pPr>
      <w:r>
        <w:rPr/>
        <w:t>Mr. Frank Lindh</w:t>
      </w:r>
    </w:p>
    <w:p>
      <w:pPr>
        <w:pStyle w:val="Normal"/>
        <w:widowControl/>
        <w:rPr/>
      </w:pPr>
      <w:r>
        <w:rPr/>
        <w:t>September 29, 2000</w:t>
      </w:r>
    </w:p>
    <w:p>
      <w:pPr>
        <w:pStyle w:val="Normal"/>
        <w:widowControl/>
        <w:rPr/>
      </w:pPr>
      <w:r>
        <w:rPr/>
        <w:t>Page 2</w:t>
      </w:r>
    </w:p>
    <w:p>
      <w:pPr>
        <w:pStyle w:val="Normal"/>
        <w:widowControl/>
        <w:rPr/>
      </w:pPr>
      <w:r>
        <w:rPr/>
      </w:r>
    </w:p>
    <w:p>
      <w:pPr>
        <w:pStyle w:val="Normal"/>
        <w:widowControl/>
        <w:rPr/>
      </w:pPr>
      <w:r>
        <w:rPr/>
      </w:r>
    </w:p>
    <w:p>
      <w:pPr>
        <w:pStyle w:val="Normal"/>
        <w:widowControl/>
        <w:rPr/>
      </w:pPr>
      <w:r>
        <w:rPr/>
        <w:t>It is also important to note that many of our members remain concerned with the manner in which the first Gas Accord process ultimately evolved.  Of particular concern to our membership has been the ongoing delay by PG&amp;E to follow through on its original commitment to divest itself of selected sections of the Northern Sacramento Basin gathering systems to interested co-operatives or producers.  As you may recall, during the original Accord process a number of different entities expressed significant interest in acquiring all or portions of the gathering systems from PG&amp;E.  To this day, the divestiture of the gathering systems remains largely unresolved, despite strong ongoing interest by a number of different parties in moving forward with various acquisition proposals.</w:t>
      </w:r>
    </w:p>
    <w:p>
      <w:pPr>
        <w:pStyle w:val="Normal"/>
        <w:widowControl/>
        <w:rPr/>
      </w:pPr>
      <w:r>
        <w:rPr/>
      </w:r>
    </w:p>
    <w:p>
      <w:pPr>
        <w:pStyle w:val="Normal"/>
        <w:widowControl/>
        <w:rPr/>
      </w:pPr>
      <w:r>
        <w:rPr/>
        <w:t>In light of this background, CIPA would like to submit the following issues for discussion and consideration.  These issue are preliminary and could be expanded as the process evolves:</w:t>
      </w:r>
    </w:p>
    <w:p>
      <w:pPr>
        <w:pStyle w:val="Normal"/>
        <w:widowControl/>
        <w:rPr/>
      </w:pPr>
      <w:r>
        <w:rPr/>
      </w:r>
    </w:p>
    <w:p>
      <w:pPr>
        <w:pStyle w:val="Normal"/>
        <w:widowControl/>
        <w:tabs>
          <w:tab w:val="left" w:pos="720" w:leader="none"/>
        </w:tabs>
        <w:ind w:hanging="360" w:start="720" w:end="0"/>
        <w:rPr/>
      </w:pPr>
      <w:r>
        <w:rPr>
          <w:rFonts w:eastAsia="Symbol" w:cs="Symbol" w:ascii="Symbol" w:hAnsi="Symbol"/>
        </w:rPr>
        <w:tab/>
      </w:r>
      <w:r>
        <w:rPr/>
        <w:t>Re-examine and pursue the transfer/sale of all or a portion of the Northern Sacramento Basin gathering system to any interested co-operative or producer;</w:t>
      </w:r>
    </w:p>
    <w:p>
      <w:pPr>
        <w:pStyle w:val="Normal"/>
        <w:widowControl/>
        <w:tabs>
          <w:tab w:val="left" w:pos="720" w:leader="none"/>
        </w:tabs>
        <w:ind w:hanging="360" w:start="720" w:end="0"/>
        <w:rPr/>
      </w:pPr>
      <w:r>
        <w:rPr>
          <w:rFonts w:eastAsia="Symbol" w:cs="Symbol" w:ascii="Symbol" w:hAnsi="Symbol"/>
        </w:rPr>
        <w:tab/>
      </w:r>
      <w:r>
        <w:rPr/>
        <w:t>Commit to developing a system that ensures reliable and continued access to delivery for independent producers;</w:t>
      </w:r>
    </w:p>
    <w:p>
      <w:pPr>
        <w:pStyle w:val="Normal"/>
        <w:widowControl/>
        <w:tabs>
          <w:tab w:val="left" w:pos="720" w:leader="none"/>
        </w:tabs>
        <w:ind w:hanging="360" w:start="720" w:end="0"/>
        <w:rPr/>
      </w:pPr>
      <w:r>
        <w:rPr>
          <w:rFonts w:eastAsia="Symbol" w:cs="Symbol" w:ascii="Symbol" w:hAnsi="Symbol"/>
        </w:rPr>
        <w:tab/>
      </w:r>
      <w:r>
        <w:rPr/>
        <w:t>Develop guarantees for timely interconnection into PG&amp;E’s delivery systems for independent producers;</w:t>
      </w:r>
    </w:p>
    <w:p>
      <w:pPr>
        <w:pStyle w:val="Normal"/>
        <w:widowControl/>
        <w:tabs>
          <w:tab w:val="left" w:pos="720" w:leader="none"/>
        </w:tabs>
        <w:ind w:hanging="360" w:start="720" w:end="0"/>
        <w:rPr/>
      </w:pPr>
      <w:r>
        <w:rPr>
          <w:rFonts w:eastAsia="Symbol" w:cs="Symbol" w:ascii="Symbol" w:hAnsi="Symbol"/>
        </w:rPr>
        <w:tab/>
      </w:r>
      <w:r>
        <w:rPr/>
        <w:t>Develop a bypass delivery system in order to avoid severe disruption in the delivery of gas to market when pipelines are taken off-line for maintenance or other reasons.  This issue should also include a discussion as to whether the construction of such a pipeline could be financed and conducted by any producer interested in entering into a legally enforceable agreement with PG&amp;E;</w:t>
      </w:r>
    </w:p>
    <w:p>
      <w:pPr>
        <w:pStyle w:val="Normal"/>
        <w:widowControl/>
        <w:tabs>
          <w:tab w:val="left" w:pos="720" w:leader="none"/>
        </w:tabs>
        <w:ind w:hanging="360" w:start="720" w:end="0"/>
        <w:rPr/>
      </w:pPr>
      <w:r>
        <w:rPr>
          <w:rFonts w:eastAsia="Symbol" w:cs="Symbol" w:ascii="Symbol" w:hAnsi="Symbol"/>
        </w:rPr>
        <w:tab/>
      </w:r>
      <w:r>
        <w:rPr/>
        <w:t xml:space="preserve">Develop an environmental liability protection provision for conducting pipeline maintenance while proceeding with the sale/transfer of individual portions of the gathering system; </w:t>
      </w:r>
    </w:p>
    <w:p>
      <w:pPr>
        <w:pStyle w:val="Normal"/>
        <w:widowControl/>
        <w:tabs>
          <w:tab w:val="left" w:pos="720" w:leader="none"/>
        </w:tabs>
        <w:ind w:hanging="360" w:start="720" w:end="0"/>
        <w:rPr/>
      </w:pPr>
      <w:r>
        <w:rPr>
          <w:rFonts w:eastAsia="Symbol" w:cs="Symbol" w:ascii="Symbol" w:hAnsi="Symbol"/>
        </w:rPr>
        <w:tab/>
      </w:r>
      <w:r>
        <w:rPr/>
        <w:t>Develop a process for PG&amp;E to assign easements including those not acquired under eminent domain;</w:t>
      </w:r>
    </w:p>
    <w:p>
      <w:pPr>
        <w:pStyle w:val="Normal"/>
        <w:widowControl/>
        <w:tabs>
          <w:tab w:val="left" w:pos="720" w:leader="none"/>
        </w:tabs>
        <w:ind w:hanging="360" w:start="720" w:end="0"/>
        <w:rPr/>
      </w:pPr>
      <w:r>
        <w:rPr>
          <w:rFonts w:eastAsia="Symbol" w:cs="Symbol" w:ascii="Symbol" w:hAnsi="Symbol"/>
        </w:rPr>
        <w:tab/>
      </w:r>
      <w:r>
        <w:rPr/>
        <w:t>Retain the existing transportation tariff on the Silverado path (this issue was successfully negotiated between CIPA and PG&amp;E during the last Gas Accord process);</w:t>
      </w:r>
    </w:p>
    <w:p>
      <w:pPr>
        <w:pStyle w:val="Normal"/>
        <w:widowControl/>
        <w:tabs>
          <w:tab w:val="left" w:pos="720" w:leader="none"/>
        </w:tabs>
        <w:ind w:hanging="360" w:start="720" w:end="0"/>
        <w:rPr/>
      </w:pPr>
      <w:r>
        <w:rPr>
          <w:rFonts w:eastAsia="Symbol" w:cs="Symbol" w:ascii="Symbol" w:hAnsi="Symbol"/>
        </w:rPr>
        <w:tab/>
      </w:r>
      <w:r>
        <w:rPr/>
        <w:t>Review existing tariffs on gas and line maintenance;</w:t>
      </w:r>
    </w:p>
    <w:p>
      <w:pPr>
        <w:pStyle w:val="Normal"/>
        <w:widowControl/>
        <w:tabs>
          <w:tab w:val="left" w:pos="720" w:leader="none"/>
        </w:tabs>
        <w:ind w:hanging="360" w:start="720" w:end="0"/>
        <w:rPr/>
      </w:pPr>
      <w:r>
        <w:rPr>
          <w:rFonts w:eastAsia="Symbol" w:cs="Symbol" w:ascii="Symbol" w:hAnsi="Symbol"/>
        </w:rPr>
        <w:tab/>
      </w:r>
      <w:r>
        <w:rPr/>
        <w:t>Examine gas quality issues and provide guaranteed acceptance of gas with low BTU;</w:t>
      </w:r>
    </w:p>
    <w:p>
      <w:pPr>
        <w:pStyle w:val="Normal"/>
        <w:widowControl/>
        <w:tabs>
          <w:tab w:val="left" w:pos="720" w:leader="none"/>
        </w:tabs>
        <w:ind w:hanging="360" w:start="720" w:end="0"/>
        <w:rPr/>
      </w:pPr>
      <w:r>
        <w:rPr>
          <w:rFonts w:eastAsia="Symbol" w:cs="Symbol" w:ascii="Symbol" w:hAnsi="Symbol"/>
        </w:rPr>
        <w:tab/>
      </w:r>
      <w:r>
        <w:rPr/>
        <w:t xml:space="preserve">Examine new procedures for determining maximum daily quantity on wells; </w:t>
      </w:r>
    </w:p>
    <w:p>
      <w:pPr>
        <w:pStyle w:val="Normal"/>
        <w:widowControl/>
        <w:tabs>
          <w:tab w:val="left" w:pos="720" w:leader="none"/>
        </w:tabs>
        <w:ind w:hanging="360" w:start="720" w:end="0"/>
        <w:rPr/>
      </w:pPr>
      <w:r>
        <w:rPr>
          <w:rFonts w:eastAsia="Symbol" w:cs="Symbol" w:ascii="Symbol" w:hAnsi="Symbol"/>
        </w:rPr>
        <w:tab/>
      </w:r>
      <w:r>
        <w:rPr/>
        <w:t>Examine all balancing issues;</w:t>
      </w:r>
    </w:p>
    <w:p>
      <w:pPr>
        <w:pStyle w:val="Normal"/>
        <w:widowControl/>
        <w:tabs>
          <w:tab w:val="left" w:pos="720" w:leader="none"/>
        </w:tabs>
        <w:ind w:hanging="360" w:start="720" w:end="0"/>
        <w:rPr/>
      </w:pPr>
      <w:r>
        <w:rPr>
          <w:rFonts w:eastAsia="Symbol" w:cs="Symbol" w:ascii="Symbol" w:hAnsi="Symbol"/>
        </w:rPr>
        <w:tab/>
      </w:r>
      <w:r>
        <w:rPr/>
        <w:t>Develop an agreement under which PG&amp;E agrees not to seek any recourse against producers seeking alternate markets; and</w:t>
      </w:r>
    </w:p>
    <w:p>
      <w:pPr>
        <w:pStyle w:val="Normal"/>
        <w:widowControl/>
        <w:tabs>
          <w:tab w:val="left" w:pos="720" w:leader="none"/>
        </w:tabs>
        <w:ind w:hanging="360" w:start="720" w:end="0"/>
        <w:rPr/>
      </w:pPr>
      <w:r>
        <w:rPr>
          <w:rFonts w:eastAsia="Symbol" w:cs="Symbol" w:ascii="Symbol" w:hAnsi="Symbol"/>
        </w:rPr>
        <w:tab/>
      </w:r>
      <w:r>
        <w:rPr/>
        <w:t>Ensure all commitments made during the Gas Accord II process are legally enforceable and include penalties that assist in ensuring the commitments are upheld.</w:t>
      </w:r>
    </w:p>
    <w:p>
      <w:pPr>
        <w:pStyle w:val="Heading3"/>
        <w:widowControl/>
        <w:ind w:hanging="0" w:start="0"/>
        <w:rPr>
          <w:u w:val="none"/>
        </w:rPr>
      </w:pPr>
      <w:r>
        <w:rPr>
          <w:u w:val="none"/>
        </w:rPr>
      </w:r>
    </w:p>
    <w:p>
      <w:pPr>
        <w:pStyle w:val="Heading3"/>
        <w:widowControl/>
        <w:ind w:hanging="0" w:start="0"/>
        <w:rPr/>
      </w:pPr>
      <w:r>
        <w:rPr/>
        <w:t>Privileged and Confidential Work Product for Settlement Purposes</w:t>
      </w:r>
    </w:p>
    <w:p>
      <w:pPr>
        <w:pStyle w:val="Normal"/>
        <w:widowControl/>
        <w:jc w:val="center"/>
        <w:rPr/>
      </w:pPr>
      <w:r>
        <w:rPr/>
      </w:r>
    </w:p>
    <w:p>
      <w:pPr>
        <w:pStyle w:val="Normal"/>
        <w:widowControl/>
        <w:rPr/>
      </w:pPr>
      <w:r>
        <w:rPr/>
        <w:t>Mr. Frank Lindh</w:t>
      </w:r>
    </w:p>
    <w:p>
      <w:pPr>
        <w:pStyle w:val="Normal"/>
        <w:widowControl/>
        <w:rPr/>
      </w:pPr>
      <w:r>
        <w:rPr/>
        <w:t>September 29, 2000</w:t>
      </w:r>
    </w:p>
    <w:p>
      <w:pPr>
        <w:pStyle w:val="Normal"/>
        <w:widowControl/>
        <w:rPr/>
      </w:pPr>
      <w:r>
        <w:rPr/>
        <w:t>Page 3</w:t>
      </w:r>
    </w:p>
    <w:p>
      <w:pPr>
        <w:pStyle w:val="Normal"/>
        <w:widowControl/>
        <w:rPr/>
      </w:pPr>
      <w:r>
        <w:rPr/>
      </w:r>
    </w:p>
    <w:p>
      <w:pPr>
        <w:pStyle w:val="Normal"/>
        <w:widowControl/>
        <w:rPr/>
      </w:pPr>
      <w:r>
        <w:rPr/>
      </w:r>
    </w:p>
    <w:p>
      <w:pPr>
        <w:pStyle w:val="Normal"/>
        <w:widowControl/>
        <w:rPr/>
      </w:pPr>
      <w:r>
        <w:rPr/>
        <w:t>Finally, it is important to note that our membership remains highly concerned with the extremely aggressive timetable outlined in your most recent “settlement schedule.”  Although we are committed to participating in the process in a good faith manner, we are highly skeptical as to whether a comprehensive draft settlement document that contains any sort of meaningful dialogue between PG&amp;E and the involved stakeholders can be realistically developed by</w:t>
      </w:r>
    </w:p>
    <w:p>
      <w:pPr>
        <w:pStyle w:val="Normal"/>
        <w:widowControl/>
        <w:rPr/>
      </w:pPr>
      <w:r>
        <w:rPr/>
        <w:t>December 8</w:t>
      </w:r>
      <w:r>
        <w:rPr>
          <w:vertAlign w:val="superscript"/>
        </w:rPr>
        <w:t>th</w:t>
      </w:r>
      <w:r>
        <w:rPr/>
        <w:t xml:space="preserve"> of this year.  We believe it is important that our producer members be allowed to participate in this process and raise our concerns without being passed over due to an overzealous schedule.  As such, we would urge your leadership team to consider revising the current schedule by at least a month to allow additional time for comment and a genuine exchange of ideas.</w:t>
      </w:r>
    </w:p>
    <w:p>
      <w:pPr>
        <w:pStyle w:val="Normal"/>
        <w:widowControl/>
        <w:rPr/>
      </w:pPr>
      <w:r>
        <w:rPr/>
      </w:r>
    </w:p>
    <w:p>
      <w:pPr>
        <w:pStyle w:val="Normal"/>
        <w:widowControl/>
        <w:rPr/>
      </w:pPr>
      <w:r>
        <w:rPr/>
        <w:t>Thank you again for allowing our membership the opportunity to express our thoughts on this matter.  We look forward to working with PG&amp;E towards achieving a mutually beneficial settlement we can both support before the California Public Utilities Commission.</w:t>
      </w:r>
    </w:p>
    <w:p>
      <w:pPr>
        <w:pStyle w:val="Normal"/>
        <w:widowControl/>
        <w:rPr/>
      </w:pPr>
      <w:r>
        <w:rPr/>
      </w:r>
    </w:p>
    <w:p>
      <w:pPr>
        <w:pStyle w:val="Normal"/>
        <w:widowControl/>
        <w:rPr/>
      </w:pPr>
      <w:r>
        <w:rPr/>
        <w:t>Should you have any questions regarding our concerns, or need additional information concerning the issues CIPA would like to have addressed during the Gas Accord II process, please do not hesitate to contact me at (916) 449-6848.  You may also contact our attorney in this matter, Edward Poole, at (415) 956-6413 with any questions you may have.</w:t>
      </w:r>
    </w:p>
    <w:p>
      <w:pPr>
        <w:pStyle w:val="Normal"/>
        <w:widowControl/>
        <w:rPr/>
      </w:pPr>
      <w:r>
        <w:rPr/>
      </w:r>
    </w:p>
    <w:p>
      <w:pPr>
        <w:pStyle w:val="Normal"/>
        <w:widowControl/>
        <w:rPr/>
      </w:pPr>
      <w:r>
        <w:rPr/>
        <w:t>Sincerely,</w:t>
      </w:r>
    </w:p>
    <w:p>
      <w:pPr>
        <w:pStyle w:val="Normal"/>
        <w:widowControl/>
        <w:rPr/>
      </w:pPr>
      <w:r>
        <w:rPr/>
      </w:r>
    </w:p>
    <w:p>
      <w:pPr>
        <w:pStyle w:val="Normal"/>
        <w:widowControl/>
        <w:rPr/>
      </w:pPr>
      <w:r>
        <w:rPr/>
      </w:r>
    </w:p>
    <w:p>
      <w:pPr>
        <w:pStyle w:val="Normal"/>
        <w:widowControl/>
        <w:rPr/>
      </w:pPr>
      <w:r>
        <w:rPr/>
      </w:r>
    </w:p>
    <w:p>
      <w:pPr>
        <w:pStyle w:val="Normal"/>
        <w:widowControl/>
        <w:rPr/>
      </w:pPr>
      <w:r>
        <w:rPr/>
        <w:t>John C. Martini</w:t>
      </w:r>
    </w:p>
    <w:p>
      <w:pPr>
        <w:pStyle w:val="Normal"/>
        <w:widowControl/>
        <w:rPr/>
      </w:pPr>
      <w:r>
        <w:rPr/>
        <w:t>Director of Public Affairs</w:t>
      </w:r>
    </w:p>
    <w:p>
      <w:pPr>
        <w:pStyle w:val="Normal"/>
        <w:widowControl/>
        <w:rPr/>
      </w:pPr>
      <w:r>
        <w:rPr/>
        <w:t>California Independent Petroleum Association</w:t>
      </w:r>
    </w:p>
    <w:p>
      <w:pPr>
        <w:pStyle w:val="Normal"/>
        <w:widowControl/>
        <w:rPr/>
      </w:pPr>
      <w:r>
        <w:rPr/>
      </w:r>
    </w:p>
    <w:p>
      <w:pPr>
        <w:pStyle w:val="Normal"/>
        <w:widowControl/>
        <w:rPr/>
      </w:pPr>
      <w:r>
        <w:rPr/>
        <w:t>cc:</w:t>
        <w:tab/>
        <w:t>Mr. Edward Poole, Law Offices of Anderson and Poole</w:t>
      </w:r>
    </w:p>
    <w:p>
      <w:pPr>
        <w:pStyle w:val="Normal"/>
        <w:widowControl/>
        <w:rPr/>
      </w:pPr>
      <w:r>
        <w:rPr/>
        <w:tab/>
        <w:t>Mr. Terry Smith, Chairman of the Board, CIPA</w:t>
      </w:r>
    </w:p>
    <w:p>
      <w:pPr>
        <w:pStyle w:val="Normal"/>
        <w:widowControl/>
        <w:rPr/>
      </w:pPr>
      <w:r>
        <w:rPr/>
        <w:tab/>
        <w:t>Members, CIPA Natural Gas Producers Committee</w:t>
      </w:r>
    </w:p>
    <w:p>
      <w:pPr>
        <w:pStyle w:val="Normal"/>
        <w:widowControl/>
        <w:rPr/>
      </w:pPr>
      <w:r>
        <w:rPr/>
      </w:r>
    </w:p>
    <w:p>
      <w:pPr>
        <w:pStyle w:val="Normal"/>
        <w:widowControl/>
        <w:rPr/>
      </w:pPr>
      <w:r>
        <w:rPr/>
      </w:r>
    </w:p>
    <w:p>
      <w:pPr>
        <w:pStyle w:val="Normal"/>
        <w:widowControl/>
        <w:rPr/>
      </w:pPr>
      <w:r>
        <w:rPr/>
      </w:r>
    </w:p>
    <w:p>
      <w:pPr>
        <w:pStyle w:val="Normal"/>
        <w:widowControl/>
        <w:rPr/>
      </w:pPr>
      <w:r>
        <w:rPr/>
      </w:r>
    </w:p>
    <w:sectPr>
      <w:headerReference w:type="default" r:id="rId2"/>
      <w:type w:val="nextPage"/>
      <w:pgSz w:w="12240" w:h="15840"/>
      <w:pgMar w:left="1440" w:right="1440" w:gutter="0" w:header="720" w:top="1440" w:footer="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Attachment A</w:t>
    </w:r>
  </w:p>
  <w:p>
    <w:pPr>
      <w:pStyle w:val="Header"/>
      <w:jc w:val="end"/>
      <w:rPr>
        <w:b/>
        <w:bCs/>
      </w:rPr>
    </w:pPr>
    <w:r>
      <w:rPr>
        <w:b/>
        <w:bCs/>
      </w:rPr>
      <w:t>Received By E-Mail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style>
  <w:style w:type="paragraph" w:styleId="Heading2">
    <w:name w:val="heading 2"/>
    <w:basedOn w:val="Normal"/>
    <w:next w:val="Normal"/>
    <w:qFormat/>
    <w:pPr>
      <w:keepNext w:val="true"/>
      <w:numPr>
        <w:ilvl w:val="1"/>
        <w:numId w:val="1"/>
      </w:numPr>
      <w:jc w:val="both"/>
      <w:outlineLvl w:val="1"/>
    </w:pPr>
    <w:rPr/>
  </w:style>
  <w:style w:type="paragraph" w:styleId="Heading3">
    <w:name w:val="heading 3"/>
    <w:basedOn w:val="Normal"/>
    <w:next w:val="Normal"/>
    <w:qFormat/>
    <w:pPr>
      <w:keepNext w:val="true"/>
      <w:numPr>
        <w:ilvl w:val="2"/>
        <w:numId w:val="1"/>
      </w:numPr>
      <w:jc w:val="center"/>
      <w:outlineLvl w:val="2"/>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2000-10-25T15:24:00Z</dcterms:created>
  <dc:creator>A Valued Microsoft Customer</dc:creator>
  <dc:description/>
  <dc:language>en-CA</dc:language>
  <cp:lastModifiedBy>Becky Lopez</cp:lastModifiedBy>
  <cp:lastPrinted>2000-10-25T10:53:00Z</cp:lastPrinted>
  <dcterms:modified xsi:type="dcterms:W3CDTF">2000-10-25T15:24:00Z</dcterms:modified>
  <cp:revision>2</cp:revision>
  <dc:subject/>
  <dc:title>September 29,2000</dc:title>
</cp:coreProperties>
</file>