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CINERGY SETTLEMENT</w:t>
      </w:r>
    </w:p>
    <w:p>
      <w:pPr>
        <w:pStyle w:val="Normal"/>
        <w:jc w:val="center"/>
        <w:rPr>
          <w:b/>
        </w:rPr>
      </w:pPr>
      <w:r>
        <w:rPr>
          <w:b/>
        </w:rPr>
      </w:r>
    </w:p>
    <w:p>
      <w:pPr>
        <w:pStyle w:val="Normal"/>
        <w:rPr>
          <w:b/>
        </w:rPr>
      </w:pPr>
      <w:r>
        <w:rPr>
          <w:b/>
        </w:rPr>
      </w:r>
    </w:p>
    <w:p>
      <w:pPr>
        <w:pStyle w:val="Normal"/>
        <w:rPr/>
      </w:pPr>
      <w:r>
        <w:rPr/>
      </w:r>
    </w:p>
    <w:p>
      <w:pPr>
        <w:pStyle w:val="Normal"/>
        <w:numPr>
          <w:ilvl w:val="0"/>
          <w:numId w:val="1"/>
        </w:numPr>
        <w:rPr/>
      </w:pPr>
      <w:r>
        <w:rPr/>
        <w:t>The Market Development Period (MDP) shall not terminate before 12/31/05 for residential customers.  For other customers, the MDP can end once the 20% level is reached as long as Cinergy does not have an affiliate competing in its retail market.  If it does, the termination of the MDP will be by PUCO order.  Calculation of customer switching is by kwh for residential and kw for commercial and industrial (C &amp; I) customers based on total actual sales updated annually in the Cinergy distribution service territory.  The shopping credit will continue for customers who exercised choice through the end of 2005, irrespective of when the MDP ends.</w:t>
      </w:r>
    </w:p>
    <w:p>
      <w:pPr>
        <w:pStyle w:val="Normal"/>
        <w:numPr>
          <w:ilvl w:val="0"/>
          <w:numId w:val="1"/>
        </w:numPr>
        <w:rPr/>
      </w:pPr>
      <w:r>
        <w:rPr/>
        <w:t>The regulatory transition charge (RTC) will be collected through 2010 for nonresidential customers and will be load factor sensitive.</w:t>
      </w:r>
    </w:p>
    <w:p>
      <w:pPr>
        <w:pStyle w:val="Normal"/>
        <w:numPr>
          <w:ilvl w:val="0"/>
          <w:numId w:val="1"/>
        </w:numPr>
        <w:rPr/>
      </w:pPr>
      <w:r>
        <w:rPr/>
        <w:t>With the exception of power for default customers during the MDP, Cinergy agrees to make all power available from its EWG available to all marketers under the same prices and to post its prices.</w:t>
      </w:r>
    </w:p>
    <w:p>
      <w:pPr>
        <w:pStyle w:val="Normal"/>
        <w:numPr>
          <w:ilvl w:val="0"/>
          <w:numId w:val="1"/>
        </w:numPr>
        <w:rPr/>
      </w:pPr>
      <w:r>
        <w:rPr/>
        <w:t>Cinergy shall seek no waivers to the Code of conduct without notice to the parties and shall agree to adhere to the Code.</w:t>
      </w:r>
    </w:p>
    <w:p>
      <w:pPr>
        <w:pStyle w:val="Normal"/>
        <w:numPr>
          <w:ilvl w:val="0"/>
          <w:numId w:val="1"/>
        </w:numPr>
        <w:rPr/>
      </w:pPr>
      <w:r>
        <w:rPr/>
        <w:t>The shopping credit for residential customers will be set at  $.0500 for the first 20% and at $.03904 thereafter during the MDP.  The RTC will be set at $.06114/kwh through 2008.</w:t>
      </w:r>
    </w:p>
    <w:p>
      <w:pPr>
        <w:pStyle w:val="Normal"/>
        <w:numPr>
          <w:ilvl w:val="0"/>
          <w:numId w:val="1"/>
        </w:numPr>
        <w:rPr/>
      </w:pPr>
      <w:r>
        <w:rPr/>
        <w:t xml:space="preserve">PIPP customers will not be included in the calculation of the 20% switching and Cinergy’s affiliate shall not participate in the bidding process.  </w:t>
      </w:r>
    </w:p>
    <w:p>
      <w:pPr>
        <w:pStyle w:val="Normal"/>
        <w:numPr>
          <w:ilvl w:val="0"/>
          <w:numId w:val="1"/>
        </w:numPr>
        <w:rPr/>
      </w:pPr>
      <w:r>
        <w:rPr/>
        <w:t>The shopping credit for the first 20% of customers switching for Secondary Distribution Small and Secondary Distribution Large will be $.053601 and $.048145/kwh respectively and for all switches above the original 20% the shopping incentive will be $.045438 and $.042460/kwh.  The RTC for small distribution is $.09499 and for large distribution it is $.06719/kwh.</w:t>
      </w:r>
    </w:p>
    <w:p>
      <w:pPr>
        <w:pStyle w:val="Normal"/>
        <w:numPr>
          <w:ilvl w:val="0"/>
          <w:numId w:val="1"/>
        </w:numPr>
        <w:rPr/>
      </w:pPr>
      <w:r>
        <w:rPr/>
        <w:t xml:space="preserve">The shopping credit for Primary Distribution, Transmission and Lighting is $.038877, $.0327 and $.030057/kwh for the first 20% respectively and  $.035145, $.030322 and $.028272/kwh thereafter, respectively. The RTC is set at $.04562/kwh for Primary Distribution, $.03043/kwh for Transmission and  $.02290/kwh for lighting. </w:t>
      </w:r>
    </w:p>
    <w:p>
      <w:pPr>
        <w:pStyle w:val="Normal"/>
        <w:numPr>
          <w:ilvl w:val="0"/>
          <w:numId w:val="1"/>
        </w:numPr>
        <w:rPr/>
      </w:pPr>
      <w:r>
        <w:rPr/>
        <w:t>One time right for large customers under contracts to cancel them during 2001.</w:t>
      </w:r>
    </w:p>
    <w:p>
      <w:pPr>
        <w:pStyle w:val="Normal"/>
        <w:numPr>
          <w:ilvl w:val="0"/>
          <w:numId w:val="1"/>
        </w:numPr>
        <w:rPr/>
      </w:pPr>
      <w:r>
        <w:rPr/>
        <w:t>Cinergy agrees to abide by the operational support workshop outcomes with the following exceptions.  During the MDP. A returning residential customer who is served between May 15 and September 25 must remain until the following May 14.   Cinergy will add a new energy imbalance tariff that sets the bandwidths at the greater of 2mw or 15% in 2001, the greater of 2mw or 10% in December, 2002 and the greater 1 mw or 6% thereafter.  Cinergy will use best efforts to purchase supplier account receivable by June 1, 2001, to implement consolidated bill ready billing by January 1, 2002, and to implement supplier consolidated billing by June 1, 2002.  Collateral calculation for certified suppliers who serve retail customers will be established to cover Cinergy’s risk in the case of a supplier default.</w:t>
      </w:r>
    </w:p>
    <w:p>
      <w:pPr>
        <w:pStyle w:val="Normal"/>
        <w:numPr>
          <w:ilvl w:val="0"/>
          <w:numId w:val="1"/>
        </w:numPr>
        <w:rPr/>
      </w:pPr>
      <w:r>
        <w:rPr/>
        <w:t xml:space="preserve">Waiver of switching fee for first 20% of residential customers. </w:t>
      </w:r>
    </w:p>
    <w:p>
      <w:pPr>
        <w:pStyle w:val="Normal"/>
        <w:numPr>
          <w:ilvl w:val="0"/>
          <w:numId w:val="1"/>
        </w:numPr>
        <w:rPr/>
      </w:pPr>
      <w:r>
        <w:rPr/>
        <w:t>Established a technical task force to address operational support issues.</w:t>
      </w:r>
    </w:p>
    <w:p>
      <w:pPr>
        <w:pStyle w:val="Normal"/>
        <w:numPr>
          <w:ilvl w:val="0"/>
          <w:numId w:val="1"/>
        </w:numPr>
        <w:rPr/>
      </w:pPr>
      <w:r>
        <w:rPr/>
        <w:t>Fund of $1.5 million to cover intervenor litigation costs.</w:t>
      </w:r>
    </w:p>
    <w:p>
      <w:pPr>
        <w:pStyle w:val="Normal"/>
        <w:rPr/>
      </w:pPr>
      <w:r>
        <w:rPr/>
      </w:r>
    </w:p>
    <w:p>
      <w:pPr>
        <w:pStyle w:val="Normal"/>
        <w:numPr>
          <w:ilvl w:val="0"/>
          <w:numId w:val="2"/>
        </w:numPr>
        <w:tabs>
          <w:tab w:val="left" w:pos="720" w:leader="none"/>
        </w:tabs>
        <w:ind w:hanging="360" w:start="720" w:end="0"/>
        <w:rPr/>
      </w:pPr>
      <w:r>
        <w:rPr/>
        <w:t>The agreement to treat all users of transmission service the same under the Company’s proforma tariff.</w:t>
      </w:r>
    </w:p>
    <w:p>
      <w:pPr>
        <w:pStyle w:val="Normal"/>
        <w:numPr>
          <w:ilvl w:val="0"/>
          <w:numId w:val="2"/>
        </w:numPr>
        <w:tabs>
          <w:tab w:val="left" w:pos="720" w:leader="none"/>
        </w:tabs>
        <w:ind w:hanging="360" w:start="720" w:end="0"/>
        <w:rPr/>
      </w:pPr>
      <w:r>
        <w:rPr/>
        <w:t>The provision that distribution service will be provided to all retail customers under the same terms and conditions irrespective of supplier</w:t>
      </w:r>
    </w:p>
    <w:p>
      <w:pPr>
        <w:pStyle w:val="Normal"/>
        <w:numPr>
          <w:ilvl w:val="0"/>
          <w:numId w:val="2"/>
        </w:numPr>
        <w:tabs>
          <w:tab w:val="left" w:pos="720" w:leader="none"/>
        </w:tabs>
        <w:ind w:hanging="360" w:start="720" w:end="0"/>
        <w:rPr/>
      </w:pPr>
      <w:r>
        <w:rPr/>
        <w:t>The agreement that all transmission customers requesting and receiving network transmission service will have the same priority as existing network customers.</w:t>
      </w:r>
    </w:p>
    <w:p>
      <w:pPr>
        <w:pStyle w:val="Normal"/>
        <w:numPr>
          <w:ilvl w:val="0"/>
          <w:numId w:val="2"/>
        </w:numPr>
        <w:tabs>
          <w:tab w:val="left" w:pos="720" w:leader="none"/>
        </w:tabs>
        <w:ind w:hanging="360" w:start="720" w:end="0"/>
        <w:rPr/>
      </w:pPr>
      <w:r>
        <w:rPr/>
        <w:t>The agreement to make point to point service available to the customer at its option.</w:t>
      </w:r>
    </w:p>
    <w:p>
      <w:pPr>
        <w:pStyle w:val="Normal"/>
        <w:numPr>
          <w:ilvl w:val="0"/>
          <w:numId w:val="2"/>
        </w:numPr>
        <w:tabs>
          <w:tab w:val="left" w:pos="720" w:leader="none"/>
        </w:tabs>
        <w:ind w:hanging="360" w:start="720" w:end="0"/>
        <w:rPr/>
      </w:pPr>
      <w:r>
        <w:rPr/>
        <w:t>The willingness to address the seams issue.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2000-05-19T17:20:00Z</dcterms:created>
  <dc:creator>jmigden</dc:creator>
  <dc:description/>
  <dc:language>en-CA</dc:language>
  <cp:lastModifiedBy>jmigden</cp:lastModifiedBy>
  <cp:lastPrinted>2000-05-19T15:33:00Z</cp:lastPrinted>
  <dcterms:modified xsi:type="dcterms:W3CDTF">2000-05-19T18:07:00Z</dcterms:modified>
  <cp:revision>1</cp:revision>
  <dc:subject/>
  <dc:title>CINERGY SETTLEMENT</dc:title>
</cp:coreProperties>
</file>