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1"/>
        <w:ind w:hanging="0" w:start="0"/>
        <w:rPr/>
      </w:pPr>
      <w:r>
        <w:rPr/>
        <w:t>Colorado Interstate Gas Company</w:t>
        <w:tab/>
        <w:tab/>
        <w:t>)</w:t>
        <w:tab/>
        <w:tab/>
        <w:t>Docket No. RP00-329-000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MOTION FOR LEAVE TO INTERVENE </w:t>
      </w:r>
    </w:p>
    <w:p>
      <w:pPr>
        <w:pStyle w:val="Heading2"/>
        <w:ind w:hanging="0" w:start="0"/>
        <w:rPr/>
      </w:pPr>
      <w:r>
        <w:rPr/>
        <w:t xml:space="preserve">AND </w:t>
      </w:r>
      <w:r>
        <w:rPr>
          <w:caps/>
        </w:rPr>
        <w:t xml:space="preserve">Comments of Enron North America </w:t>
      </w:r>
    </w:p>
    <w:p>
      <w:pPr>
        <w:pStyle w:val="Heading2"/>
        <w:ind w:hanging="0" w:start="0"/>
        <w:rPr>
          <w:caps/>
        </w:rPr>
      </w:pPr>
      <w:r>
        <w:rPr>
          <w:caps/>
        </w:rPr>
        <w:t>On Compliance Filing</w:t>
      </w:r>
    </w:p>
    <w:p>
      <w:pPr>
        <w:pStyle w:val="Normal"/>
        <w:jc w:val="center"/>
        <w:rPr>
          <w:caps/>
          <w:sz w:val="24"/>
        </w:rPr>
      </w:pPr>
      <w:r>
        <w:rPr>
          <w:caps/>
          <w:sz w:val="24"/>
        </w:rPr>
      </w:r>
    </w:p>
    <w:p>
      <w:pPr>
        <w:pStyle w:val="Normal"/>
        <w:jc w:val="center"/>
        <w:rPr>
          <w:sz w:val="24"/>
        </w:rPr>
      </w:pPr>
      <w:r>
        <w:rPr>
          <w:sz w:val="24"/>
        </w:rPr>
      </w:r>
    </w:p>
    <w:p>
      <w:pPr>
        <w:pStyle w:val="BodyText"/>
        <w:tabs>
          <w:tab w:val="clear" w:pos="720"/>
          <w:tab w:val="left" w:pos="1440" w:leader="none"/>
        </w:tabs>
        <w:rPr/>
      </w:pPr>
      <w:r>
        <w:rPr/>
        <w:tab/>
        <w:t>In Order No. 637</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(“ENA”) hereby files its motion for leave to intervene and comments on the compliance filing of Colorado Interstate Gas Company (“CIG”) in the above-captioned 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ind w:firstLine="1440" w:end="0"/>
        <w:rPr/>
      </w:pPr>
      <w:r>
        <w:rPr/>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COMMENTS</w:t>
      </w:r>
    </w:p>
    <w:p>
      <w:pPr>
        <w:pStyle w:val="BodyText"/>
        <w:tabs>
          <w:tab w:val="clear" w:pos="720"/>
          <w:tab w:val="left" w:pos="1440" w:leader="none"/>
        </w:tabs>
        <w:ind w:firstLine="1440" w:end="0"/>
        <w:rPr/>
      </w:pPr>
      <w:r>
        <w:rPr/>
        <w:t>Section 2.6 of CIG’s proposed tariff provides that a shipper using capacity under a prearranged release of 31 days or less may nominate gas flow at the next available nomination cycle after the prearranged shipper has confirmed its prearranged bid and the replacement contract has been issued.  All other prearranged releases are subject to the open season requirement which will dictate that nominations cannot be made until that process (found in Section 2.5 of the CIG tariff) is satisfied.  ENA submits that the same provision made for the prearranged releases of 31 days or less should also apply to releases of more than one year, since these releases are not necessarily subject to the bidding requirement that holds for the releases of less than one year (i.e. those releases for which the rate cap is waived).  Thus, shippers under prearranged releases of more than one year at the maximum rate should be able to nominate at the next available nomination cycle.</w:t>
      </w:r>
    </w:p>
    <w:p>
      <w:pPr>
        <w:pStyle w:val="BodyText"/>
        <w:keepNext w:val="true"/>
        <w:tabs>
          <w:tab w:val="clear" w:pos="720"/>
          <w:tab w:val="left" w:pos="1440" w:leader="none"/>
        </w:tabs>
        <w:jc w:val="center"/>
        <w:rPr>
          <w:b/>
          <w:caps/>
        </w:rPr>
      </w:pPr>
      <w:r>
        <w:rPr>
          <w:b/>
          <w:caps/>
        </w:rPr>
        <w:t>III.</w:t>
      </w:r>
    </w:p>
    <w:p>
      <w:pPr>
        <w:pStyle w:val="BodyText"/>
        <w:keepNext w:val="true"/>
        <w:tabs>
          <w:tab w:val="clear" w:pos="720"/>
          <w:tab w:val="left" w:pos="1440" w:leader="none"/>
        </w:tabs>
        <w:jc w:val="center"/>
        <w:rPr>
          <w:b/>
          <w:caps/>
        </w:rPr>
      </w:pPr>
      <w:r>
        <w:rPr>
          <w:b/>
          <w:caps/>
        </w:rPr>
        <w:t>Conclusion</w:t>
      </w:r>
    </w:p>
    <w:p>
      <w:pPr>
        <w:pStyle w:val="BodyText"/>
        <w:tabs>
          <w:tab w:val="clear" w:pos="720"/>
          <w:tab w:val="left" w:pos="1440" w:leader="none"/>
        </w:tabs>
        <w:rPr/>
      </w:pPr>
      <w:r>
        <w:rPr>
          <w:caps/>
        </w:rPr>
        <w:tab/>
        <w:t xml:space="preserve">WHEREFORE, </w:t>
      </w:r>
      <w:r>
        <w:rPr/>
        <w:t>in light of the foregoing, ENA respectfully requests that the Commission grant it leave to intervene in this proceeding and require CIG to modify its proposed Section 2.5 consistent with the discussion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July 17,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sz w:val="24"/>
        </w:rPr>
        <w:tab/>
        <w:t>Dated this 17</w:t>
      </w:r>
      <w:r>
        <w:rPr>
          <w:sz w:val="24"/>
          <w:vertAlign w:val="superscript"/>
        </w:rPr>
        <w:t>th</w:t>
      </w:r>
      <w:r>
        <w:rPr>
          <w:sz w:val="24"/>
        </w:rPr>
        <w:t xml:space="preserve"> day of July,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b/>
      </w:r>
      <w:r>
        <w:rPr>
          <w:sz w:val="24"/>
          <w:u w:val="single"/>
        </w:rPr>
        <w:t xml:space="preserve">                                                     </w:t>
      </w:r>
    </w:p>
    <w:p>
      <w:pPr>
        <w:pStyle w:val="BodyText"/>
        <w:ind w:firstLine="720" w:start="1440" w:end="0"/>
        <w:rPr/>
      </w:pPr>
      <w:r>
        <w:rPr/>
        <w:tab/>
        <w:tab/>
        <w:tab/>
        <w:tab/>
        <w:t>Leslie J. Lawner</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91 F.E.R.C. ¶ 61,169 (2000) (Order No. 637-A).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CG Times (WN)" w:hAnsi="CG Times (WN)" w:cs="CG Times (WN)"/>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2000-07-14T13:08:00Z</dcterms:created>
  <dc:creator>leslie joyce lawner</dc:creator>
  <dc:description/>
  <dc:language>en-CA</dc:language>
  <cp:lastModifiedBy>bcantre</cp:lastModifiedBy>
  <cp:lastPrinted>2000-07-14T16:02:00Z</cp:lastPrinted>
  <dcterms:modified xsi:type="dcterms:W3CDTF">2000-07-14T18:32:00Z</dcterms:modified>
  <cp:revision>4</cp:revision>
  <dc:subject/>
  <dc:title>UNITED STATES OF AMERICA</dc:title>
</cp:coreProperties>
</file>