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PRIVILEGED AND CONFIDENTIAL</w:t>
      </w:r>
    </w:p>
    <w:p>
      <w:pPr>
        <w:pStyle w:val="Normal"/>
        <w:jc w:val="end"/>
        <w:rPr/>
      </w:pPr>
      <w:r>
        <w:rPr/>
        <w:t>ATTORNEY CLIENT PRIVILEGE</w:t>
      </w:r>
    </w:p>
    <w:p>
      <w:pPr>
        <w:pStyle w:val="Normal"/>
        <w:jc w:val="end"/>
        <w:rPr/>
      </w:pPr>
      <w:r>
        <w:rPr/>
        <w:t>March 10, 2000</w:t>
      </w:r>
    </w:p>
    <w:p>
      <w:pPr>
        <w:pStyle w:val="Normal"/>
        <w:jc w:val="end"/>
        <w:rPr/>
      </w:pPr>
      <w:r>
        <w:rPr/>
      </w:r>
    </w:p>
    <w:p>
      <w:pPr>
        <w:pStyle w:val="Normal"/>
        <w:jc w:val="center"/>
        <w:rPr/>
      </w:pPr>
      <w:r>
        <w:rPr/>
        <w:t>CHRONOLOGY OF EVENTS</w:t>
      </w:r>
    </w:p>
    <w:p>
      <w:pPr>
        <w:pStyle w:val="Normal"/>
        <w:jc w:val="center"/>
        <w:rPr/>
      </w:pPr>
      <w:r>
        <w:rPr/>
        <w:t>RELATED TO HUBBARD ELECTRIC COMPRESSION</w:t>
      </w:r>
    </w:p>
    <w:p>
      <w:pPr>
        <w:pStyle w:val="Normal"/>
        <w:jc w:val="center"/>
        <w:rPr/>
      </w:pPr>
      <w:r>
        <w:rPr/>
      </w:r>
    </w:p>
    <w:tbl>
      <w:tblPr>
        <w:tblW w:w="8856" w:type="dxa"/>
        <w:jc w:val="start"/>
        <w:tblInd w:w="0" w:type="dxa"/>
        <w:tblLayout w:type="fixed"/>
        <w:tblCellMar>
          <w:top w:w="0" w:type="dxa"/>
          <w:start w:w="108" w:type="dxa"/>
          <w:bottom w:w="0" w:type="dxa"/>
          <w:end w:w="108" w:type="dxa"/>
        </w:tblCellMar>
      </w:tblPr>
      <w:tblGrid>
        <w:gridCol w:w="2178"/>
        <w:gridCol w:w="6678"/>
      </w:tblGrid>
      <w:tr>
        <w:trPr/>
        <w:tc>
          <w:tcPr>
            <w:tcW w:w="2178" w:type="dxa"/>
            <w:tcBorders/>
          </w:tcPr>
          <w:p>
            <w:pPr>
              <w:pStyle w:val="Heading1"/>
              <w:ind w:hanging="0" w:start="0"/>
              <w:jc w:val="center"/>
              <w:rPr/>
            </w:pPr>
            <w:r>
              <w:rPr/>
              <w:t>DATE</w:t>
            </w:r>
          </w:p>
        </w:tc>
        <w:tc>
          <w:tcPr>
            <w:tcW w:w="6678" w:type="dxa"/>
            <w:tcBorders/>
          </w:tcPr>
          <w:p>
            <w:pPr>
              <w:pStyle w:val="Heading1"/>
              <w:ind w:hanging="0" w:start="0"/>
              <w:jc w:val="center"/>
              <w:rPr/>
            </w:pPr>
            <w:r>
              <w:rPr/>
              <w:t>EVENT</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December 22, 1994</w:t>
            </w:r>
          </w:p>
        </w:tc>
        <w:tc>
          <w:tcPr>
            <w:tcW w:w="6678" w:type="dxa"/>
            <w:tcBorders/>
          </w:tcPr>
          <w:p>
            <w:pPr>
              <w:pStyle w:val="Normal"/>
              <w:rPr/>
            </w:pPr>
            <w:r>
              <w:rPr/>
              <w:t>Northern files certificate application in Docket CP95-130-000, including Hubbard compressor and brief description of ECS deal.</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March 31, 1995</w:t>
            </w:r>
          </w:p>
        </w:tc>
        <w:tc>
          <w:tcPr>
            <w:tcW w:w="6678" w:type="dxa"/>
            <w:tcBorders/>
          </w:tcPr>
          <w:p>
            <w:pPr>
              <w:pStyle w:val="Normal"/>
              <w:rPr/>
            </w:pPr>
            <w:r>
              <w:rPr/>
              <w:t>Northern signs initial “Compression Services Agreement” with Enron Capital and Trade Resources (“ECT”) (“1995 CSA”).</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June 30, 1995</w:t>
            </w:r>
          </w:p>
        </w:tc>
        <w:tc>
          <w:tcPr>
            <w:tcW w:w="6678" w:type="dxa"/>
            <w:tcBorders/>
          </w:tcPr>
          <w:p>
            <w:pPr>
              <w:pStyle w:val="Normal"/>
              <w:rPr/>
            </w:pPr>
            <w:r>
              <w:rPr/>
              <w:t>FERC issues certificate in CP95-130-000.  FERC does not mention ECS deal.</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1995 or 1996</w:t>
            </w:r>
          </w:p>
        </w:tc>
        <w:tc>
          <w:tcPr>
            <w:tcW w:w="6678" w:type="dxa"/>
            <w:tcBorders/>
          </w:tcPr>
          <w:p>
            <w:pPr>
              <w:pStyle w:val="Normal"/>
              <w:rPr/>
            </w:pPr>
            <w:r>
              <w:rPr/>
              <w:t>Service commences under the 1995 CSA and Northern begins booking fuel costs to account No. 856 (fuel burned).  The balance of this account was recovered through Northern’s fuel retention percentages to customers..</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March 4, 1997</w:t>
            </w:r>
          </w:p>
        </w:tc>
        <w:tc>
          <w:tcPr>
            <w:tcW w:w="6678" w:type="dxa"/>
            <w:tcBorders/>
          </w:tcPr>
          <w:p>
            <w:pPr>
              <w:pStyle w:val="Normal"/>
              <w:rPr/>
            </w:pPr>
            <w:r>
              <w:rPr/>
              <w:t>Northern files to incorporate a “Periodic Rate Adjustment” (“PRA”) in its tariff, in Docket No. RP97-275-000.  The PRA would allow annual readjustment of Northern’s fuel retention percentages.  The proposal does not include a tracker.</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April 3, 1997</w:t>
            </w:r>
          </w:p>
        </w:tc>
        <w:tc>
          <w:tcPr>
            <w:tcW w:w="6678" w:type="dxa"/>
            <w:tcBorders/>
          </w:tcPr>
          <w:p>
            <w:pPr>
              <w:pStyle w:val="Normal"/>
              <w:rPr/>
            </w:pPr>
            <w:r>
              <w:rPr/>
              <w:t>PRA filing (Docket No. RP97-275-000) is accepted subject to conditions and further review.</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May 1, 1997</w:t>
            </w:r>
          </w:p>
        </w:tc>
        <w:tc>
          <w:tcPr>
            <w:tcW w:w="6678" w:type="dxa"/>
            <w:tcBorders/>
          </w:tcPr>
          <w:p>
            <w:pPr>
              <w:pStyle w:val="Normal"/>
              <w:rPr/>
            </w:pPr>
            <w:r>
              <w:rPr/>
              <w:t>Northern makes its initial filing to adjust fuel retention rates pursuant to the PRA in Docket No. TM97-2-59-000.</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July 1, 1997</w:t>
            </w:r>
          </w:p>
        </w:tc>
        <w:tc>
          <w:tcPr>
            <w:tcW w:w="6678" w:type="dxa"/>
            <w:tcBorders/>
          </w:tcPr>
          <w:p>
            <w:pPr>
              <w:pStyle w:val="Normal"/>
              <w:rPr/>
            </w:pPr>
            <w:r>
              <w:rPr/>
              <w:t>FERC orders Northern to modify its PRA proposal to include a true-up mechanism (i.e., a tracker).</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May 29, 1997</w:t>
            </w:r>
          </w:p>
        </w:tc>
        <w:tc>
          <w:tcPr>
            <w:tcW w:w="6678" w:type="dxa"/>
            <w:tcBorders/>
          </w:tcPr>
          <w:p>
            <w:pPr>
              <w:pStyle w:val="Normal"/>
              <w:rPr/>
            </w:pPr>
            <w:r>
              <w:rPr/>
              <w:t>FERC accepted Northern’s TM97-2-59 filing subject to refund and to disposition of the RP97-275 filing.</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October 17, 1997</w:t>
            </w:r>
          </w:p>
        </w:tc>
        <w:tc>
          <w:tcPr>
            <w:tcW w:w="6678" w:type="dxa"/>
            <w:tcBorders/>
          </w:tcPr>
          <w:p>
            <w:pPr>
              <w:pStyle w:val="Normal"/>
              <w:rPr/>
            </w:pPr>
            <w:r>
              <w:rPr/>
              <w:t>FERC ordered Northern to tighten up the tracker (i.e., eliminate the “incentive mechanism”) and rejected as premature Northern’s proposal “to extend the coverage of its PRA to electric power for electrically driven compressors, none of which are in use on its system at this time.”  FERC apparently did not consider the Hubbard compressor to be “on its system” or else simply forgot about Hubbard.  Northern did not file anything to disagree with this statement.  Interestingly, FERC pointed out that Northern filed the fuel tracker “over its customers’ objections.”</w:t>
            </w:r>
          </w:p>
        </w:tc>
      </w:tr>
    </w:tbl>
    <w:p>
      <w:pPr>
        <w:pStyle w:val="Normal"/>
        <w:rPr/>
      </w:pPr>
      <w:r>
        <w:rPr/>
      </w:r>
      <w:r>
        <w:br w:type="page"/>
      </w:r>
    </w:p>
    <w:p>
      <w:pPr>
        <w:pStyle w:val="Normal"/>
        <w:jc w:val="end"/>
        <w:rPr/>
      </w:pPr>
      <w:r>
        <w:rPr/>
        <w:t>PRIVILEGED AND CONFIDENTIAL</w:t>
      </w:r>
    </w:p>
    <w:p>
      <w:pPr>
        <w:pStyle w:val="Normal"/>
        <w:jc w:val="end"/>
        <w:rPr/>
      </w:pPr>
      <w:r>
        <w:rPr/>
        <w:t>ATTORNEY CLIENT PRIVILEGE</w:t>
      </w:r>
    </w:p>
    <w:p>
      <w:pPr>
        <w:pStyle w:val="Normal"/>
        <w:jc w:val="end"/>
        <w:rPr/>
      </w:pPr>
      <w:r>
        <w:rPr/>
        <w:t>March 10, 2000</w:t>
      </w:r>
    </w:p>
    <w:p>
      <w:pPr>
        <w:pStyle w:val="Normal"/>
        <w:jc w:val="end"/>
        <w:rPr/>
      </w:pPr>
      <w:r>
        <w:rPr/>
      </w:r>
    </w:p>
    <w:p>
      <w:pPr>
        <w:pStyle w:val="Normal"/>
        <w:jc w:val="center"/>
        <w:rPr/>
      </w:pPr>
      <w:r>
        <w:rPr/>
        <w:t>CHRONOLOGY OF EVENTS</w:t>
      </w:r>
    </w:p>
    <w:p>
      <w:pPr>
        <w:pStyle w:val="Normal"/>
        <w:jc w:val="center"/>
        <w:rPr/>
      </w:pPr>
      <w:r>
        <w:rPr/>
        <w:t>RELATED TO HUBBARD ELECTRIC COMPRESSION</w:t>
      </w:r>
    </w:p>
    <w:p>
      <w:pPr>
        <w:pStyle w:val="Normal"/>
        <w:jc w:val="center"/>
        <w:rPr/>
      </w:pPr>
      <w:r>
        <w:rPr/>
        <w:t>Page 2</w:t>
      </w:r>
    </w:p>
    <w:p>
      <w:pPr>
        <w:pStyle w:val="Normal"/>
        <w:jc w:val="center"/>
        <w:rPr/>
      </w:pPr>
      <w:r>
        <w:rPr/>
      </w:r>
    </w:p>
    <w:tbl>
      <w:tblPr>
        <w:tblW w:w="8856" w:type="dxa"/>
        <w:jc w:val="start"/>
        <w:tblInd w:w="0" w:type="dxa"/>
        <w:tblLayout w:type="fixed"/>
        <w:tblCellMar>
          <w:top w:w="0" w:type="dxa"/>
          <w:start w:w="108" w:type="dxa"/>
          <w:bottom w:w="0" w:type="dxa"/>
          <w:end w:w="108" w:type="dxa"/>
        </w:tblCellMar>
      </w:tblPr>
      <w:tblGrid>
        <w:gridCol w:w="2178"/>
        <w:gridCol w:w="6678"/>
      </w:tblGrid>
      <w:tr>
        <w:trPr/>
        <w:tc>
          <w:tcPr>
            <w:tcW w:w="2178" w:type="dxa"/>
            <w:tcBorders/>
          </w:tcPr>
          <w:p>
            <w:pPr>
              <w:pStyle w:val="Heading1"/>
              <w:ind w:hanging="0" w:start="0"/>
              <w:jc w:val="center"/>
              <w:rPr/>
            </w:pPr>
            <w:r>
              <w:rPr/>
              <w:t>DATE</w:t>
            </w:r>
          </w:p>
        </w:tc>
        <w:tc>
          <w:tcPr>
            <w:tcW w:w="6678" w:type="dxa"/>
            <w:tcBorders/>
          </w:tcPr>
          <w:p>
            <w:pPr>
              <w:pStyle w:val="Heading1"/>
              <w:ind w:hanging="0" w:start="0"/>
              <w:jc w:val="center"/>
              <w:rPr/>
            </w:pPr>
            <w:r>
              <w:rPr/>
              <w:t>EVENT</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November 1, 1997</w:t>
            </w:r>
          </w:p>
        </w:tc>
        <w:tc>
          <w:tcPr>
            <w:tcW w:w="6678" w:type="dxa"/>
            <w:tcBorders/>
          </w:tcPr>
          <w:p>
            <w:pPr>
              <w:pStyle w:val="Normal"/>
              <w:rPr/>
            </w:pPr>
            <w:r>
              <w:rPr/>
              <w:t>1995 CSA is amended to modify heat rate and O&amp;M reimbursement.</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December 10, 1997</w:t>
            </w:r>
          </w:p>
        </w:tc>
        <w:tc>
          <w:tcPr>
            <w:tcW w:w="6678" w:type="dxa"/>
            <w:tcBorders/>
          </w:tcPr>
          <w:p>
            <w:pPr>
              <w:pStyle w:val="Normal"/>
              <w:rPr/>
            </w:pPr>
            <w:r>
              <w:rPr/>
              <w:t xml:space="preserve">Northern filed a settlement to resolve both the RP97-275 and TM97-2-59 dockets.  The settlement did not define costs of electric compression as costs to be included in the tracker.  The proposal as to Docket No. TM97-2-59 </w:t>
            </w:r>
            <w:r>
              <w:rPr>
                <w:u w:val="single"/>
              </w:rPr>
              <w:t>did</w:t>
            </w:r>
            <w:r>
              <w:rPr/>
              <w:t xml:space="preserve"> include the costs of fuel paid to ECS at Hubbard in the recovered amounts.  [DF – verify]</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March 16, 1998</w:t>
            </w:r>
          </w:p>
        </w:tc>
        <w:tc>
          <w:tcPr>
            <w:tcW w:w="6678" w:type="dxa"/>
            <w:tcBorders/>
          </w:tcPr>
          <w:p>
            <w:pPr>
              <w:pStyle w:val="Normal"/>
              <w:rPr/>
            </w:pPr>
            <w:r>
              <w:rPr/>
              <w:t>FERC approved the December 10, 1997 settlement with one modification.  The modification required Northern to narrow the circumstances in which it would exempt shippers from the fuel or UAF charge.</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May 1, 1998</w:t>
            </w:r>
          </w:p>
        </w:tc>
        <w:tc>
          <w:tcPr>
            <w:tcW w:w="6678" w:type="dxa"/>
            <w:tcBorders/>
          </w:tcPr>
          <w:p>
            <w:pPr>
              <w:pStyle w:val="Normal"/>
              <w:rPr/>
            </w:pPr>
            <w:r>
              <w:rPr/>
              <w:t>Northern files RP98-203 rate case and seeks expansion of the PRA to include electric power costs of “new electric compression” installed after October 1, 1998.</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April 16, 1998</w:t>
            </w:r>
          </w:p>
        </w:tc>
        <w:tc>
          <w:tcPr>
            <w:tcW w:w="6678" w:type="dxa"/>
            <w:tcBorders/>
          </w:tcPr>
          <w:p>
            <w:pPr>
              <w:pStyle w:val="Normal"/>
              <w:rPr/>
            </w:pPr>
            <w:r>
              <w:rPr/>
              <w:t>Northern files settlement of RP98-203 rate case.  The settlement adds a new PRA tracker mechanism for electric power costs from new compression, but specifically states that “Electric costs associated with electric compression installed prior to October 1, 1998 will continue to be recovered in base transportation rates.”  Settlement at 24.</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rPr/>
            </w:pPr>
            <w:r>
              <w:rPr/>
              <w:t>June 18, 1999</w:t>
            </w:r>
          </w:p>
        </w:tc>
        <w:tc>
          <w:tcPr>
            <w:tcW w:w="6678" w:type="dxa"/>
            <w:tcBorders/>
          </w:tcPr>
          <w:p>
            <w:pPr>
              <w:pStyle w:val="Normal"/>
              <w:rPr/>
            </w:pPr>
            <w:r>
              <w:rPr/>
              <w:t>FERC approves April 16, 1999 Settlement.</w:t>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r>
        <w:trPr/>
        <w:tc>
          <w:tcPr>
            <w:tcW w:w="2178" w:type="dxa"/>
            <w:tcBorders/>
          </w:tcPr>
          <w:p>
            <w:pPr>
              <w:pStyle w:val="Normal"/>
              <w:snapToGrid w:val="false"/>
              <w:rPr/>
            </w:pPr>
            <w:r>
              <w:rPr/>
            </w:r>
          </w:p>
        </w:tc>
        <w:tc>
          <w:tcPr>
            <w:tcW w:w="6678" w:type="dxa"/>
            <w:tcBorders/>
          </w:tcPr>
          <w:p>
            <w:pPr>
              <w:pStyle w:val="Normal"/>
              <w:snapToGrid w:val="false"/>
              <w:rPr/>
            </w:pPr>
            <w:r>
              <w:rPr/>
            </w:r>
          </w:p>
        </w:tc>
      </w:tr>
    </w:tbl>
    <w:p>
      <w:pPr>
        <w:pStyle w:val="Normal"/>
        <w:jc w:val="center"/>
        <w:rPr/>
      </w:pPr>
      <w:r>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2000-03-10T19:21:00Z</dcterms:created>
  <dc:creator>Enron</dc:creator>
  <dc:description/>
  <dc:language>en-CA</dc:language>
  <cp:lastModifiedBy>Enron</cp:lastModifiedBy>
  <cp:lastPrinted>2000-03-10T17:24:00Z</cp:lastPrinted>
  <dcterms:modified xsi:type="dcterms:W3CDTF">2000-03-10T20:54:00Z</dcterms:modified>
  <cp:revision>21</cp:revision>
  <dc:subject/>
  <dc:title>PRIVILEGED AND CONFIDENTIAL</dc:title>
</cp:coreProperties>
</file>