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360"/>
        <w:ind w:hanging="0" w:end="0"/>
        <w:jc w:val="center"/>
        <w:rPr>
          <w:rFonts w:ascii="Palatino;Book Antiqua" w:hAnsi="Palatino;Book Antiqua" w:cs="Palatino;Book Antiqua"/>
          <w:b/>
          <w:smallCaps/>
          <w:sz w:val="28"/>
        </w:rPr>
      </w:pPr>
      <w:r>
        <w:rPr>
          <w:rFonts w:cs="Palatino;Book Antiqua" w:ascii="Palatino;Book Antiqua" w:hAnsi="Palatino;Book Antiqua"/>
          <w:b/>
          <w:smallCaps/>
          <w:sz w:val="28"/>
        </w:rPr>
        <w:drawing>
          <wp:inline distT="0" distB="0" distL="0" distR="0">
            <wp:extent cx="5485765" cy="13620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6" r="-8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0" w:after="440"/>
        <w:ind w:hanging="0" w:end="0"/>
        <w:jc w:val="center"/>
        <w:rPr>
          <w:rFonts w:ascii="Palatino;Book Antiqua" w:hAnsi="Palatino;Book Antiqua" w:cs="Palatino;Book Antiqua"/>
          <w:b/>
          <w:smallCaps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57784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7.3pt" to="439.15pt,17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Palatino;Book Antiqua" w:ascii="Palatino;Book Antiqua" w:hAnsi="Palatino;Book Antiqua"/>
          <w:b/>
          <w:smallCaps/>
          <w:sz w:val="28"/>
        </w:rPr>
        <w:t>Tuesday, April 24, 2001</w:t>
      </w:r>
    </w:p>
    <w:p>
      <w:pPr>
        <w:pStyle w:val="Normal"/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8:00 a.m.</w:t>
        <w:tab/>
        <w:t>Introduction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8:15 a.m.</w:t>
        <w:tab/>
        <w:t>Domestic Acquisitions</w:t>
      </w:r>
    </w:p>
    <w:p>
      <w:pPr>
        <w:pStyle w:val="Normal"/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9:00 a.m.</w:t>
        <w:tab/>
        <w:t>Restructuring Issues</w:t>
      </w:r>
    </w:p>
    <w:p>
      <w:pPr>
        <w:pStyle w:val="Normal"/>
        <w:spacing w:before="0" w:after="120"/>
        <w:rPr/>
      </w:pPr>
      <w:r>
        <w:rPr>
          <w:sz w:val="22"/>
        </w:rPr>
        <w:t>10:15 a.m.</w:t>
        <w:tab/>
      </w:r>
      <w:r>
        <w:rPr>
          <w:i/>
          <w:sz w:val="22"/>
        </w:rPr>
        <w:t>Break</w:t>
      </w:r>
    </w:p>
    <w:p>
      <w:pPr>
        <w:pStyle w:val="Normal"/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10:30 a.m.</w:t>
        <w:tab/>
        <w:t>Stranded Asset Securitizations</w:t>
      </w:r>
    </w:p>
    <w:p>
      <w:pPr>
        <w:pStyle w:val="Normal"/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11:15 a.m.</w:t>
        <w:tab/>
        <w:t>Nuclear Decommissioning Issues</w:t>
      </w:r>
    </w:p>
    <w:p>
      <w:pPr>
        <w:pStyle w:val="Normal"/>
        <w:spacing w:before="0" w:after="120"/>
        <w:rPr/>
      </w:pPr>
      <w:r>
        <w:rPr>
          <w:sz w:val="22"/>
          <w:lang w:eastAsia="en-US"/>
        </w:rPr>
        <w:t>12:00 p.m.</w:t>
        <w:tab/>
      </w:r>
      <w:r>
        <w:rPr>
          <w:i/>
          <w:sz w:val="22"/>
          <w:lang w:eastAsia="en-US"/>
        </w:rPr>
        <w:t>Luncheon</w:t>
      </w:r>
    </w:p>
    <w:p>
      <w:pPr>
        <w:pStyle w:val="Normal"/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1:00 p.m.</w:t>
        <w:tab/>
        <w:t>California Issues</w:t>
      </w:r>
    </w:p>
    <w:p>
      <w:pPr>
        <w:pStyle w:val="Normal"/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1:30 p.m.</w:t>
        <w:tab/>
        <w:t>Energy Trading and Hedging Activities</w:t>
      </w:r>
    </w:p>
    <w:p>
      <w:pPr>
        <w:pStyle w:val="Normal"/>
        <w:spacing w:before="0" w:after="120"/>
        <w:rPr/>
      </w:pPr>
      <w:r>
        <w:rPr>
          <w:sz w:val="22"/>
        </w:rPr>
        <w:t>2:30 p.m.</w:t>
        <w:tab/>
      </w:r>
      <w:r>
        <w:rPr>
          <w:i/>
          <w:sz w:val="22"/>
        </w:rPr>
        <w:t>Break</w:t>
      </w:r>
    </w:p>
    <w:p>
      <w:pPr>
        <w:pStyle w:val="Normal"/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2:45 p.m.</w:t>
        <w:tab/>
        <w:t>Generation/Transmission Disposition Techniques</w:t>
      </w:r>
    </w:p>
    <w:p>
      <w:pPr>
        <w:pStyle w:val="Normal"/>
        <w:spacing w:before="0" w:after="120"/>
        <w:rPr>
          <w:sz w:val="22"/>
          <w:lang w:eastAsia="en-US"/>
        </w:rPr>
      </w:pPr>
      <w:r>
        <w:rPr>
          <w:sz w:val="22"/>
          <w:lang w:eastAsia="en-US"/>
        </w:rPr>
        <w:t>3:30 p.m.</w:t>
        <w:tab/>
        <w:t>Synthetic Generation</w:t>
      </w:r>
    </w:p>
    <w:p>
      <w:pPr>
        <w:pStyle w:val="Normal"/>
        <w:spacing w:before="0" w:after="120"/>
        <w:rPr>
          <w:sz w:val="22"/>
        </w:rPr>
      </w:pPr>
      <w:r>
        <w:rPr>
          <w:sz w:val="22"/>
        </w:rPr>
        <w:t>4:00 p.m.</w:t>
        <w:tab/>
        <w:t>Cross Border Acquisition</w:t>
      </w:r>
    </w:p>
    <w:p>
      <w:pPr>
        <w:pStyle w:val="Normal"/>
        <w:spacing w:before="0" w:after="360"/>
        <w:rPr/>
      </w:pPr>
      <w:r>
        <w:rPr/>
        <w:t>4:30 p.m.</w:t>
        <w:tab/>
        <w:t>Close</w:t>
      </w:r>
    </w:p>
    <w:tbl>
      <w:tblPr>
        <w:tblW w:w="8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4500"/>
      </w:tblGrid>
      <w:tr>
        <w:trPr>
          <w:trHeight w:val="50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Faculty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spacing w:before="0" w:after="36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Thomas C. Borders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b/>
                <w:sz w:val="22"/>
              </w:rPr>
              <w:t>Special Guest Speakers:</w:t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David R. Hardy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pacing w:before="0" w:after="360"/>
              <w:rPr/>
            </w:pPr>
            <w:r>
              <w:rPr>
                <w:sz w:val="22"/>
              </w:rPr>
              <w:t xml:space="preserve">John Gamino, </w:t>
            </w:r>
            <w:r>
              <w:rPr>
                <w:i/>
                <w:sz w:val="22"/>
              </w:rPr>
              <w:t>TXU Corp.</w:t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Daniel J. Hartnett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pacing w:before="0" w:after="360"/>
              <w:rPr/>
            </w:pPr>
            <w:r>
              <w:rPr>
                <w:sz w:val="22"/>
              </w:rPr>
              <w:t xml:space="preserve">Charles Mannix, </w:t>
            </w:r>
            <w:r>
              <w:rPr>
                <w:i/>
                <w:sz w:val="22"/>
              </w:rPr>
              <w:t>Exelon Generation</w:t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Andrea S. Kramer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spacing w:before="0" w:after="3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Richard M. Lipton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spacing w:before="0" w:after="3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Laurie S. Marsh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spacing w:before="0" w:after="3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William R. Pomierski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spacing w:before="0" w:after="3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Martha Groves Pugh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spacing w:before="0" w:after="3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Stephen E. Wells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spacing w:before="0" w:after="3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40" w:hRule="exact"/>
        </w:trPr>
        <w:tc>
          <w:tcPr>
            <w:tcW w:w="3600" w:type="dxa"/>
            <w:tcBorders/>
          </w:tcPr>
          <w:p>
            <w:pPr>
              <w:pStyle w:val="Normal"/>
              <w:spacing w:before="0" w:after="360"/>
              <w:rPr>
                <w:sz w:val="22"/>
              </w:rPr>
            </w:pPr>
            <w:r>
              <w:rPr>
                <w:sz w:val="22"/>
              </w:rPr>
              <w:t>Daniel N. Zucker</w:t>
            </w:r>
          </w:p>
        </w:tc>
        <w:tc>
          <w:tcPr>
            <w:tcW w:w="4500" w:type="dxa"/>
            <w:tcBorders/>
          </w:tcPr>
          <w:p>
            <w:pPr>
              <w:pStyle w:val="Normal"/>
              <w:snapToGrid w:val="false"/>
              <w:spacing w:before="0" w:after="36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0" w:after="360"/>
        <w:rPr/>
      </w:pPr>
      <w:r>
        <w:br w:type="page"/>
      </w:r>
      <w:r>
        <w:rPr/>
        <w:drawing>
          <wp:inline distT="0" distB="0" distL="0" distR="0">
            <wp:extent cx="5486400" cy="1360805"/>
            <wp:effectExtent l="0" t="0" r="0" b="0"/>
            <wp:docPr id="3" name="ERDTG%233%20copy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DTG%233%20copy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22" r="-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0" w:after="480"/>
        <w:ind w:hanging="0" w:end="0"/>
        <w:jc w:val="center"/>
        <w:rPr>
          <w:rFonts w:ascii="Palatino;Book Antiqua" w:hAnsi="Palatino;Book Antiqua" w:cs="Palatino;Book Antiqua"/>
          <w:b/>
          <w:smallCaps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557784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8.8pt" to="439.15pt,18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Palatino;Book Antiqua" w:ascii="Palatino;Book Antiqua" w:hAnsi="Palatino;Book Antiqua"/>
          <w:b/>
          <w:smallCaps/>
          <w:sz w:val="28"/>
        </w:rPr>
        <w:t>Wednesday, April 25, 2001</w:t>
      </w:r>
    </w:p>
    <w:p>
      <w:pPr>
        <w:pStyle w:val="Normal"/>
        <w:spacing w:before="0" w:after="240"/>
        <w:rPr>
          <w:sz w:val="22"/>
        </w:rPr>
      </w:pPr>
      <w:r>
        <w:rPr>
          <w:sz w:val="22"/>
        </w:rPr>
        <w:t>8:00 a.m. - 12:00 p.m.</w:t>
      </w:r>
    </w:p>
    <w:p>
      <w:pPr>
        <w:pStyle w:val="Normal"/>
        <w:numPr>
          <w:ilvl w:val="0"/>
          <w:numId w:val="2"/>
        </w:numPr>
        <w:spacing w:before="0" w:after="240"/>
        <w:rPr>
          <w:sz w:val="22"/>
        </w:rPr>
      </w:pPr>
      <w:r>
        <w:rPr>
          <w:b/>
          <w:sz w:val="22"/>
        </w:rPr>
        <w:t>Introduction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Discussion of Legislative Issues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>Patricia Healy</w:t>
      </w:r>
    </w:p>
    <w:p>
      <w:pPr>
        <w:pStyle w:val="Normal"/>
        <w:spacing w:before="0" w:after="240"/>
        <w:rPr/>
      </w:pPr>
      <w:r>
        <w:rPr>
          <w:i/>
          <w:sz w:val="22"/>
        </w:rPr>
        <w:tab/>
        <w:t>Martha Groves Pugh</w:t>
      </w:r>
      <w:r>
        <w:rPr>
          <w:sz w:val="22"/>
        </w:rPr>
        <w:t>, McDermott, Will &amp; Emery</w:t>
      </w:r>
    </w:p>
    <w:p>
      <w:pPr>
        <w:pStyle w:val="Normal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Code Section 355(e)</w:t>
      </w:r>
    </w:p>
    <w:p>
      <w:pPr>
        <w:pStyle w:val="Normal"/>
        <w:rPr/>
      </w:pPr>
      <w:r>
        <w:rPr>
          <w:i/>
          <w:sz w:val="22"/>
        </w:rPr>
        <w:tab/>
        <w:t>David R. Hardy</w:t>
      </w:r>
      <w:r>
        <w:rPr>
          <w:sz w:val="22"/>
        </w:rPr>
        <w:t>, McDermott, Will &amp; Emery</w:t>
      </w:r>
    </w:p>
    <w:p>
      <w:pPr>
        <w:pStyle w:val="Normal"/>
        <w:spacing w:before="0" w:after="240"/>
        <w:rPr/>
      </w:pPr>
      <w:r>
        <w:rPr>
          <w:i/>
          <w:sz w:val="22"/>
        </w:rPr>
        <w:tab/>
        <w:t>Laurie S. Marsh</w:t>
      </w:r>
      <w:r>
        <w:rPr>
          <w:sz w:val="22"/>
        </w:rPr>
        <w:t>, McDermott, Will &amp; Emery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Hedging Programs and Compliance Matters</w:t>
      </w:r>
    </w:p>
    <w:p>
      <w:pPr>
        <w:pStyle w:val="Normal"/>
        <w:spacing w:before="0" w:after="240"/>
        <w:rPr/>
      </w:pPr>
      <w:r>
        <w:rPr>
          <w:i/>
          <w:sz w:val="22"/>
        </w:rPr>
        <w:tab/>
        <w:t>Andrea S. Kramer</w:t>
      </w:r>
      <w:r>
        <w:rPr>
          <w:sz w:val="22"/>
        </w:rPr>
        <w:t>, McDermott, Will &amp; Emery</w:t>
      </w:r>
    </w:p>
    <w:p>
      <w:pPr>
        <w:pStyle w:val="Normal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Recent Developments on Nuclear Regulatory Commission Decommissioning Funding Assurance Policies Discussion</w:t>
      </w:r>
    </w:p>
    <w:p>
      <w:pPr>
        <w:pStyle w:val="Normal"/>
        <w:spacing w:before="0" w:after="240"/>
        <w:rPr/>
      </w:pPr>
      <w:r>
        <w:rPr>
          <w:i/>
          <w:sz w:val="22"/>
        </w:rPr>
        <w:tab/>
        <w:t>Robert S. Wood</w:t>
      </w:r>
      <w:r>
        <w:rPr>
          <w:sz w:val="22"/>
        </w:rPr>
        <w:t>, Nuclear Regulatory Commission</w:t>
      </w:r>
    </w:p>
    <w:p>
      <w:pPr>
        <w:pStyle w:val="Normal"/>
        <w:numPr>
          <w:ilvl w:val="0"/>
          <w:numId w:val="2"/>
        </w:numPr>
        <w:spacing w:before="0" w:after="240"/>
        <w:rPr>
          <w:sz w:val="22"/>
        </w:rPr>
      </w:pPr>
      <w:r>
        <w:rPr>
          <w:b/>
          <w:sz w:val="22"/>
        </w:rPr>
        <w:t>Consideration of Issues of Importance and Common Interest to Participants</w:t>
      </w:r>
    </w:p>
    <w:p>
      <w:pPr>
        <w:pStyle w:val="Normal"/>
        <w:numPr>
          <w:ilvl w:val="0"/>
          <w:numId w:val="2"/>
        </w:numPr>
        <w:spacing w:before="0" w:after="240"/>
        <w:rPr>
          <w:sz w:val="22"/>
        </w:rPr>
      </w:pPr>
      <w:r>
        <w:rPr>
          <w:b/>
          <w:sz w:val="22"/>
        </w:rPr>
        <w:t>Closing Comments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728" w:right="1728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Palatino">
    <w:altName w:val="Book Antiqua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u w:val="none"/>
        <w:b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440" w:hanging="720"/>
      </w:pPr>
      <w:rPr>
        <w:i w:val="false"/>
        <w:u w:val="none"/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2160" w:hanging="720"/>
      </w:pPr>
      <w:rPr>
        <w:u w:val="none"/>
        <w:b w:val="false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720"/>
        </w:tabs>
        <w:ind w:start="2880" w:hanging="720"/>
      </w:pPr>
      <w:rPr>
        <w:u w:val="none"/>
        <w:b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  <w:rPr>
        <w:u w:val="none"/>
        <w:b w:val="false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320" w:hanging="720"/>
      </w:pPr>
      <w:rPr>
        <w:u w:val="none"/>
        <w:b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5040" w:hanging="720"/>
      </w:pPr>
      <w:rPr>
        <w:u w:val="none"/>
        <w:b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720"/>
        </w:tabs>
        <w:ind w:start="5760" w:hanging="720"/>
      </w:pPr>
      <w:rPr>
        <w:u w:val="none"/>
        <w:b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720"/>
        </w:tabs>
        <w:ind w:start="6480" w:hanging="720"/>
      </w:pPr>
      <w:rPr>
        <w:u w:val="none"/>
        <w:b w:val="false"/>
      </w:r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b w:val="fals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b w:val="false"/>
      <w:i w:val="false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BodyTextIndent">
    <w:name w:val="Body Text Indent"/>
    <w:basedOn w:val="BodyText"/>
    <w:next w:val="BodyText"/>
    <w:pPr>
      <w:ind w:hanging="0" w:start="144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Quote">
    <w:name w:val="Quote"/>
    <w:basedOn w:val="Normal"/>
    <w:next w:val="BodyTextContinued"/>
    <w:qFormat/>
    <w:pPr>
      <w:spacing w:before="0" w:after="240"/>
      <w:ind w:hanging="0" w:start="144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2001-04-09T18:08:00Z</dcterms:created>
  <dc:creator>MW&amp;E</dc:creator>
  <dc:description/>
  <dc:language>en-CA</dc:language>
  <cp:lastModifiedBy>MW&amp;E</cp:lastModifiedBy>
  <cp:lastPrinted>2001-04-09T11:38:00Z</cp:lastPrinted>
  <dcterms:modified xsi:type="dcterms:W3CDTF">2001-04-09T18:08:00Z</dcterms:modified>
  <cp:revision>2</cp:revision>
  <dc:subject/>
  <dc:title>TUESDAY, APRIL 24, 2001</dc:title>
</cp:coreProperties>
</file>