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sz w:val="28"/>
        </w:rPr>
      </w:pPr>
      <w:bookmarkStart w:id="0" w:name="zzmpMemo"/>
      <w:r>
        <w:rPr>
          <w:b/>
          <w:smallCaps/>
          <w:sz w:val="28"/>
        </w:rPr>
        <w:t>McDermott, Will &amp; Emery</w:t>
      </w:r>
    </w:p>
    <w:p>
      <w:pPr>
        <w:pStyle w:val="Normal"/>
        <w:jc w:val="center"/>
        <w:rPr/>
      </w:pPr>
      <w:r>
        <w:rPr/>
        <w:t>Chicago</w:t>
      </w:r>
    </w:p>
    <w:p>
      <w:pPr>
        <w:pStyle w:val="Normal"/>
        <w:jc w:val="center"/>
        <w:rPr/>
      </w:pPr>
      <w:r>
        <w:rPr/>
      </w:r>
    </w:p>
    <w:p>
      <w:pPr>
        <w:pStyle w:val="Normal"/>
        <w:jc w:val="center"/>
        <w:rPr>
          <w:b/>
          <w:caps/>
          <w:spacing w:val="68"/>
        </w:rPr>
      </w:pPr>
      <w:r>
        <w:rPr>
          <w:b/>
          <w:caps/>
          <w:spacing w:val="68"/>
        </w:rPr>
        <w:t>Memorandum</w:t>
      </w:r>
    </w:p>
    <w:p>
      <w:pPr>
        <w:pStyle w:val="Normal"/>
        <w:jc w:val="center"/>
        <w:rPr>
          <w:b/>
          <w:caps/>
          <w:spacing w:val="68"/>
        </w:rPr>
      </w:pPr>
      <w:r>
        <w:rPr>
          <w:b/>
          <w:caps/>
          <w:spacing w:val="68"/>
        </w:rPr>
      </w:r>
    </w:p>
    <w:p>
      <w:pPr>
        <w:pStyle w:val="Normal"/>
        <w:jc w:val="center"/>
        <w:rPr>
          <w:b/>
          <w:caps/>
          <w:spacing w:val="68"/>
        </w:rPr>
      </w:pPr>
      <w:r>
        <w:rPr>
          <w:b/>
          <w:caps/>
          <w:spacing w:val="68"/>
        </w:rPr>
      </w:r>
    </w:p>
    <w:tbl>
      <w:tblPr>
        <w:tblW w:w="9576" w:type="dxa"/>
        <w:jc w:val="start"/>
        <w:tblInd w:w="9" w:type="dxa"/>
        <w:tblLayout w:type="fixed"/>
        <w:tblCellMar>
          <w:top w:w="0" w:type="dxa"/>
          <w:start w:w="144" w:type="dxa"/>
          <w:bottom w:w="0" w:type="dxa"/>
          <w:end w:w="144" w:type="dxa"/>
        </w:tblCellMar>
      </w:tblPr>
      <w:tblGrid>
        <w:gridCol w:w="1440"/>
        <w:gridCol w:w="3870"/>
        <w:gridCol w:w="1170"/>
        <w:gridCol w:w="3096"/>
      </w:tblGrid>
      <w:tr>
        <w:trPr>
          <w:trHeight w:val="480" w:hRule="atLeast"/>
        </w:trPr>
        <w:tc>
          <w:tcPr>
            <w:tcW w:w="1440" w:type="dxa"/>
            <w:tcBorders/>
          </w:tcPr>
          <w:p>
            <w:pPr>
              <w:pStyle w:val="Memo-ToFrom"/>
              <w:spacing w:before="0" w:after="240"/>
              <w:rPr>
                <w:b/>
              </w:rPr>
            </w:pPr>
            <w:r>
              <w:rPr>
                <w:b/>
              </w:rPr>
              <w:t>TO:</w:t>
            </w:r>
          </w:p>
        </w:tc>
        <w:tc>
          <w:tcPr>
            <w:tcW w:w="3870" w:type="dxa"/>
            <w:tcBorders/>
          </w:tcPr>
          <w:p>
            <w:pPr>
              <w:pStyle w:val="Memo-ToFrom"/>
              <w:spacing w:before="0" w:after="240"/>
              <w:rPr/>
            </w:pPr>
            <w:r>
              <w:rPr/>
              <w:t>Clients and Friends of the Firm</w:t>
            </w:r>
          </w:p>
        </w:tc>
        <w:tc>
          <w:tcPr>
            <w:tcW w:w="1170" w:type="dxa"/>
            <w:tcBorders/>
          </w:tcPr>
          <w:p>
            <w:pPr>
              <w:pStyle w:val="Memo-ToFrom"/>
              <w:spacing w:before="0" w:after="240"/>
              <w:rPr>
                <w:b/>
              </w:rPr>
            </w:pPr>
            <w:r>
              <w:rPr>
                <w:b/>
              </w:rPr>
              <w:t>DATE:</w:t>
            </w:r>
          </w:p>
        </w:tc>
        <w:tc>
          <w:tcPr>
            <w:tcW w:w="3096" w:type="dxa"/>
            <w:tcBorders/>
          </w:tcPr>
          <w:p>
            <w:pPr>
              <w:pStyle w:val="Memo-Date"/>
              <w:rPr>
                <w:lang w:val="en-CA"/>
              </w:rPr>
            </w:pPr>
            <w:r>
              <w:rPr>
                <w:lang w:val="en-CA"/>
              </w:rPr>
              <w:t>January 22, 2001</w:t>
            </w:r>
          </w:p>
        </w:tc>
      </w:tr>
      <w:tr>
        <w:trPr>
          <w:trHeight w:val="480" w:hRule="atLeast"/>
        </w:trPr>
        <w:tc>
          <w:tcPr>
            <w:tcW w:w="1440" w:type="dxa"/>
            <w:tcBorders/>
          </w:tcPr>
          <w:p>
            <w:pPr>
              <w:pStyle w:val="Memo-ToFrom"/>
              <w:spacing w:before="0" w:after="240"/>
              <w:rPr>
                <w:b/>
              </w:rPr>
            </w:pPr>
            <w:r>
              <w:rPr>
                <w:b/>
              </w:rPr>
              <w:t>FROM:</w:t>
            </w:r>
          </w:p>
        </w:tc>
        <w:tc>
          <w:tcPr>
            <w:tcW w:w="3870" w:type="dxa"/>
            <w:tcBorders/>
          </w:tcPr>
          <w:p>
            <w:pPr>
              <w:pStyle w:val="Memo-ToFrom"/>
              <w:spacing w:before="0" w:after="0"/>
              <w:rPr/>
            </w:pPr>
            <w:r>
              <w:rPr/>
              <w:t>Andie Kramer</w:t>
            </w:r>
          </w:p>
          <w:p>
            <w:pPr>
              <w:pStyle w:val="Memo-ToFrom"/>
              <w:spacing w:before="0" w:after="240"/>
              <w:rPr/>
            </w:pPr>
            <w:r>
              <w:rPr/>
              <w:t>Bill Pomierski</w:t>
            </w:r>
          </w:p>
        </w:tc>
        <w:tc>
          <w:tcPr>
            <w:tcW w:w="4266" w:type="dxa"/>
            <w:gridSpan w:val="2"/>
            <w:tcBorders/>
          </w:tcPr>
          <w:p>
            <w:pPr>
              <w:pStyle w:val="Memo-ToFrom"/>
              <w:snapToGrid w:val="false"/>
              <w:spacing w:before="0" w:after="240"/>
              <w:rPr/>
            </w:pPr>
            <w:r>
              <w:rPr/>
            </w:r>
          </w:p>
        </w:tc>
      </w:tr>
    </w:tbl>
    <w:p>
      <w:pPr>
        <w:pStyle w:val="Memo-ReLine"/>
        <w:spacing w:before="0" w:after="120"/>
        <w:rPr/>
      </w:pPr>
      <w:r>
        <w:rPr>
          <w:b/>
        </w:rPr>
        <w:t>RE:</w:t>
      </w:r>
      <w:r>
        <w:rPr/>
        <w:tab/>
      </w:r>
      <w:r>
        <w:rPr>
          <w:u w:val="single"/>
        </w:rPr>
        <w:t>Proposed Hedging Regulations</w:t>
      </w:r>
    </w:p>
    <w:p>
      <w:pPr>
        <w:pStyle w:val="Normal"/>
        <w:jc w:val="both"/>
        <w:rPr/>
      </w:pPr>
      <w:r>
        <w:rPr/>
      </w:r>
    </w:p>
    <w:p>
      <w:pPr>
        <w:pStyle w:val="BodyText"/>
        <w:ind w:hanging="0" w:end="0"/>
        <w:rPr/>
      </w:pPr>
      <w:r>
        <w:rPr/>
        <w:t>The IRS recently issued Proposed Regulations coordinating the hedging regulations under Treas. Reg. §1.1221-2 with Code §1221(a)(7), which was adopted at the end of 1999.</w:t>
      </w:r>
    </w:p>
    <w:p>
      <w:pPr>
        <w:pStyle w:val="BodyText"/>
        <w:ind w:hanging="0" w:end="0"/>
        <w:rPr/>
      </w:pPr>
      <w:r>
        <w:rPr/>
        <w:t>As we had hoped, the Proposed Regulations essentially mirror the current regulations under Treas. Reg. §1.1221-2.  The only changes that were made from the existing regulations include:  (1) changing the standard for a qualifying hedge from risk "reduction" to risk "management;" (2) eliminating the provision relating to hedging of non-inventory supplies (which was rendered unnecessary by the adoption of Code §1221(a)(8)); (3)  updating coordination rules with other Code Sections; and (4) eliminating outdated transition rules.</w:t>
      </w:r>
    </w:p>
    <w:p>
      <w:pPr>
        <w:pStyle w:val="BodyText"/>
        <w:ind w:hanging="0" w:end="0"/>
        <w:rPr/>
      </w:pPr>
      <w:r>
        <w:rPr/>
        <w:t>This confirms that taxpayers can continue to rely on various features of the current regulations, such as the rules relating to consolidated group hedging, the hedge identification procedures (including the provisions for aggregate hedging), and the "inadvertent error" exception to a misidentified hedge, to name a few.</w:t>
      </w:r>
    </w:p>
    <w:p>
      <w:pPr>
        <w:pStyle w:val="PlainText"/>
        <w:rPr>
          <w:rFonts w:ascii="Times New Roman" w:hAnsi="Times New Roman" w:cs="Times New Roman"/>
          <w:sz w:val="24"/>
        </w:rPr>
      </w:pPr>
      <w:r>
        <w:rPr>
          <w:rFonts w:cs="Times New Roman" w:ascii="Times New Roman" w:hAnsi="Times New Roman"/>
          <w:sz w:val="24"/>
        </w:rPr>
        <w:t>It appears that there are only two items in the Proposed Regulations that might be considered new.  First, while the Proposed Regulations offer nothing new in the way of defining risk "management," they do note that a risk management transaction can, to the extent provided in a future revenue ruling, revenue procedure, or regulation, include transactions intended to manage risks beyond reducing risk of interest rate, price changes, or currency fluctuations relating to ordinary assets, borrowings or ordinary obligations.</w:t>
      </w:r>
    </w:p>
    <w:p>
      <w:pPr>
        <w:pStyle w:val="PlainText"/>
        <w:rPr>
          <w:rFonts w:ascii="Times New Roman" w:hAnsi="Times New Roman" w:cs="Times New Roman"/>
          <w:sz w:val="24"/>
        </w:rPr>
      </w:pPr>
      <w:r>
        <w:rPr>
          <w:rFonts w:cs="Times New Roman" w:ascii="Times New Roman" w:hAnsi="Times New Roman"/>
          <w:sz w:val="24"/>
        </w:rPr>
      </w:r>
    </w:p>
    <w:p>
      <w:pPr>
        <w:pStyle w:val="BodyText"/>
        <w:ind w:hanging="0" w:end="0"/>
        <w:rPr/>
      </w:pPr>
      <w:r>
        <w:rPr/>
        <w:t xml:space="preserve">Second, the Proposed Regulations slightly expanded the examples of permissible procedures for identifying a transaction as a hedge to include "designating a certain mark, a certain form, or a certain legend as meaning that a transaction is a hedge of a specified item (or of specified items or a specified aggregate risk)."  </w:t>
      </w:r>
    </w:p>
    <w:p>
      <w:pPr>
        <w:pStyle w:val="BodyText"/>
        <w:ind w:hanging="0" w:end="0"/>
        <w:rPr/>
      </w:pPr>
      <w:bookmarkStart w:id="1" w:name="zzmpMemo"/>
      <w:r>
        <w:rPr/>
        <w:t>Finally, the Proposed Regulations say nothing about the hedge timing rules under Treas. Reg. §1.446-4.  It had been our sense, and the Proposed Regulations appear to confirm, that no changes will be made to the hedge timing rules.</w:t>
      </w:r>
      <w:bookmarkEnd w:id="1"/>
    </w:p>
    <w:p>
      <w:pPr>
        <w:pStyle w:val="BodyText"/>
        <w:ind w:hanging="0" w:end="0"/>
        <w:rPr/>
      </w:pPr>
      <w:r>
        <w:rPr/>
        <w:t>The IRS is seeking comments on the Proposed Regulations and has scheduled a public hearing for May, 2001.  As some of you know, we have formed a coalition for the purpose of attempting to influence the "risk management" standard.  The goal would be to seek a risk management standard that would alleviate many of the concerns regarding transactions that are difficult to categorize under the old risk reduction standard.  If you are interested in further details regarding the coalition, please let us know.</w:t>
      </w:r>
    </w:p>
    <w:p>
      <w:pPr>
        <w:pStyle w:val="BodyText"/>
        <w:ind w:hanging="0" w:end="0"/>
        <w:rPr/>
      </w:pPr>
      <w:r>
        <w:rPr/>
      </w:r>
    </w:p>
    <w:p>
      <w:pPr>
        <w:pStyle w:val="BodyText"/>
        <w:spacing w:before="0" w:after="0"/>
        <w:ind w:hanging="0" w:end="0"/>
        <w:rPr/>
      </w:pPr>
      <w:r>
        <w:rPr/>
        <w:t>Andie Kramer</w:t>
      </w:r>
    </w:p>
    <w:p>
      <w:pPr>
        <w:pStyle w:val="BodyText"/>
        <w:spacing w:before="0" w:after="0"/>
        <w:ind w:hanging="0" w:end="0"/>
        <w:rPr/>
      </w:pPr>
      <w:r>
        <w:rPr/>
        <w:t>312-984-6480</w:t>
      </w:r>
    </w:p>
    <w:p>
      <w:pPr>
        <w:pStyle w:val="BodyText"/>
        <w:spacing w:before="0" w:after="0"/>
        <w:ind w:hanging="0" w:end="0"/>
        <w:rPr/>
      </w:pPr>
      <w:r>
        <w:rPr/>
        <w:t>akramer@mwe.com</w:t>
      </w:r>
    </w:p>
    <w:p>
      <w:pPr>
        <w:pStyle w:val="BodyText"/>
        <w:spacing w:before="0" w:after="0"/>
        <w:ind w:hanging="0" w:end="0"/>
        <w:rPr/>
      </w:pPr>
      <w:r>
        <w:rPr/>
      </w:r>
    </w:p>
    <w:p>
      <w:pPr>
        <w:pStyle w:val="BodyText"/>
        <w:spacing w:before="0" w:after="0"/>
        <w:ind w:hanging="0" w:end="0"/>
        <w:rPr/>
      </w:pPr>
      <w:r>
        <w:rPr/>
        <w:t>Bill Pomierski</w:t>
      </w:r>
    </w:p>
    <w:p>
      <w:pPr>
        <w:pStyle w:val="BodyText"/>
        <w:spacing w:before="0" w:after="0"/>
        <w:ind w:hanging="0" w:end="0"/>
        <w:rPr/>
      </w:pPr>
      <w:r>
        <w:rPr/>
        <w:t>312-984-7531</w:t>
      </w:r>
    </w:p>
    <w:p>
      <w:pPr>
        <w:pStyle w:val="BodyText"/>
        <w:spacing w:before="0" w:after="0"/>
        <w:ind w:hanging="0" w:end="0"/>
        <w:rPr/>
      </w:pPr>
      <w:r>
        <w:rPr/>
        <w:t>wpomierski@mwe.com</w:t>
      </w:r>
    </w:p>
    <w:sectPr>
      <w:headerReference w:type="default" r:id="rId2"/>
      <w:headerReference w:type="first" r:id="rId3"/>
      <w:footerReference w:type="default" r:id="rId4"/>
      <w:footerReference w:type="first" r:id="rId5"/>
      <w:type w:val="nextPage"/>
      <w:pgSz w:w="12240" w:h="15840"/>
      <w:pgMar w:left="1728" w:right="1728"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3888"/>
      <w:gridCol w:w="1080"/>
      <w:gridCol w:w="4590"/>
    </w:tblGrid>
    <w:tr>
      <w:trPr/>
      <w:tc>
        <w:tcPr>
          <w:tcW w:w="3888" w:type="dxa"/>
          <w:tcBorders/>
        </w:tcPr>
        <w:p>
          <w:pPr>
            <w:pStyle w:val="Footer"/>
            <w:snapToGrid w:val="false"/>
            <w:rPr/>
          </w:pPr>
          <w:r>
            <w:rPr/>
          </w:r>
          <w:bookmarkStart w:id="2" w:name="zzmpMemoFooter"/>
          <w:bookmarkStart w:id="3" w:name="zzmpMemoFooter"/>
          <w:bookmarkEnd w:id="3"/>
        </w:p>
      </w:tc>
      <w:tc>
        <w:tcPr>
          <w:tcW w:w="1080" w:type="dxa"/>
          <w:tcBorders/>
        </w:tcPr>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c>
      <w:tc>
        <w:tcPr>
          <w:tcW w:w="4590" w:type="dxa"/>
          <w:tcBorders/>
        </w:tcPr>
        <w:p>
          <w:pPr>
            <w:pStyle w:val="Footer"/>
            <w:snapToGrid w:val="false"/>
            <w:rPr/>
          </w:pPr>
          <w:r>
            <w:rPr/>
          </w:r>
        </w:p>
      </w:tc>
    </w:tr>
  </w:tbl>
  <w:p>
    <w:pPr>
      <w:pStyle w:val="Footer"/>
      <w:rPr>
        <w:sz w:val="15"/>
      </w:rPr>
    </w:pPr>
    <w:r>
      <w:rPr>
        <w:sz w:val="15"/>
      </w:rPr>
    </w:r>
  </w:p>
  <w:p>
    <w:pPr>
      <w:pStyle w:val="Footer"/>
      <w:rPr>
        <w:sz w:val="15"/>
      </w:rPr>
    </w:pPr>
    <w:r>
      <w:rPr>
        <w:sz w:val="15"/>
      </w:rPr>
      <w:t>CHI99 3642664-1.T00569.0013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CHI99 3642664-1.T00569.0013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decimal"/>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decimal"/>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Roman"/>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bxOptBodyTextAlignment" w:val="3"/>
    <w:docVar w:name="chkIncludeDPhrase" w:val="False"/>
    <w:docVar w:name="chkOptIncludeFirmName" w:val="True"/>
    <w:docVar w:name="chkOptInsertDateAsField" w:val="False"/>
    <w:docVar w:name="chkOptTodaysDate" w:val="True"/>
    <w:docVar w:name="cmbAuthor" w:val="1615"/>
    <w:docVar w:name="cmbAuthorLists" w:val="-101"/>
    <w:docVar w:name="cmbOptFonts" w:val="Times New Roman"/>
    <w:docVar w:name="cmbOptLetterhead" w:val="None"/>
    <w:docVar w:name="cmbOptOffices" w:val="2"/>
    <w:docVar w:name="lstDeliveryPhrases" w:val="Attorney-Client Privilege"/>
    <w:docVar w:name="Restarted" w:val="True"/>
    <w:docVar w:name="tglUseFirmDefaults" w:val="True"/>
    <w:docVar w:name="txtCC" w:val="A. Kramer&#10;W. Pomierski"/>
    <w:docVar w:name="txtFrom" w:val="A. R. Rosen"/>
    <w:docVar w:name="txtOptBottomMargin" w:val="1"/>
    <w:docVar w:name="txtOptFirstLine" w:val="1"/>
    <w:docVar w:name="txtOptFSize" w:val="12"/>
    <w:docVar w:name="txtOptLeftMargin" w:val="1.2"/>
    <w:docVar w:name="txtOptRightMargin" w:val="1.2"/>
    <w:docVar w:name="txtOptTopMargin" w:val="1"/>
    <w:docVar w:name="txtRe" w:val="Bandwidth Trading - State Tax Issuer"/>
    <w:docVar w:name="txtTo" w:val="Files"/>
    <w:docVar w:name="zzmpFixedCurrentTOCScheme" w:val="Outline1a"/>
    <w:docVar w:name="zzmpFixedCurScheme" w:val="Outline1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CEntryL1">
    <w:name w:val="zzmpTCEntryL1"/>
    <w:basedOn w:val="DefaultParagraphFont"/>
    <w:qFormat/>
    <w:rPr>
      <w:color w:val="0000FF"/>
    </w:rPr>
  </w:style>
  <w:style w:type="character" w:styleId="zzmpTCEntryL2">
    <w:name w:val="zzmpTCEntryL2"/>
    <w:basedOn w:val="DefaultParagraphFont"/>
    <w:qFormat/>
    <w:rPr>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rPr>
  </w:style>
  <w:style w:type="paragraph" w:styleId="BodyTextIndent">
    <w:name w:val="Body Text Indent"/>
    <w:basedOn w:val="BodyText"/>
    <w:next w:val="BodyText"/>
    <w:pPr>
      <w:widowControl w:val="false"/>
      <w:spacing w:before="0" w:after="0"/>
      <w:ind w:firstLine="144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
    <w:name w:val="Quote"/>
    <w:basedOn w:val="BodyText"/>
    <w:next w:val="BodyTextContinued"/>
    <w:qFormat/>
    <w:pPr>
      <w:ind w:hanging="0" w:start="1440" w:end="144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odyTextContinued">
    <w:name w:val="Body Text Continued"/>
    <w:basedOn w:val="BodyText"/>
    <w:next w:val="BodyText"/>
    <w:qFormat/>
    <w:pPr>
      <w:ind w:hanging="0" w:start="0" w:end="0"/>
    </w:pPr>
    <w:rPr/>
  </w:style>
  <w:style w:type="paragraph" w:styleId="Memo-ReLine">
    <w:name w:val="Memo - ReLine"/>
    <w:basedOn w:val="Normal"/>
    <w:qFormat/>
    <w:pPr>
      <w:ind w:hanging="1440" w:start="1440" w:end="0"/>
    </w:pPr>
    <w:rPr/>
  </w:style>
  <w:style w:type="paragraph" w:styleId="Memo-Date">
    <w:name w:val="Memo - Date"/>
    <w:basedOn w:val="Normal"/>
    <w:qFormat/>
    <w:pPr/>
    <w:rPr/>
  </w:style>
  <w:style w:type="paragraph" w:styleId="Memo-ToFrom">
    <w:name w:val="Memo - To/From"/>
    <w:basedOn w:val="Normal"/>
    <w:qFormat/>
    <w:pPr>
      <w:spacing w:before="0" w:after="240"/>
    </w:pPr>
    <w:rPr/>
  </w:style>
  <w:style w:type="paragraph" w:styleId="Memo-cc">
    <w:name w:val="Memo - cc"/>
    <w:basedOn w:val="Normal"/>
    <w:qFormat/>
    <w:pPr/>
    <w:rPr/>
  </w:style>
  <w:style w:type="paragraph" w:styleId="NumContinue">
    <w:name w:val="Num Continue"/>
    <w:basedOn w:val="BodyText"/>
    <w:qFormat/>
    <w:pPr/>
    <w:rPr/>
  </w:style>
  <w:style w:type="paragraph" w:styleId="Outline1aL1">
    <w:name w:val="Outline1a_L1"/>
    <w:basedOn w:val="Normal"/>
    <w:next w:val="BodyText"/>
    <w:qFormat/>
    <w:pPr>
      <w:widowControl w:val="false"/>
      <w:numPr>
        <w:ilvl w:val="0"/>
        <w:numId w:val="2"/>
      </w:numPr>
      <w:suppressAutoHyphens w:val="true"/>
      <w:spacing w:before="0" w:after="240"/>
      <w:outlineLvl w:val="0"/>
    </w:pPr>
    <w:rPr/>
  </w:style>
  <w:style w:type="paragraph" w:styleId="Outline1aL2">
    <w:name w:val="Outline1a_L2"/>
    <w:basedOn w:val="Outline1aL1"/>
    <w:next w:val="BodyText"/>
    <w:qFormat/>
    <w:pPr>
      <w:numPr>
        <w:ilvl w:val="0"/>
        <w:numId w:val="2"/>
      </w:numPr>
      <w:outlineLvl w:val="1"/>
    </w:pPr>
    <w:rPr/>
  </w:style>
  <w:style w:type="paragraph" w:styleId="Outline1aL3">
    <w:name w:val="Outline1a_L3"/>
    <w:basedOn w:val="Outline1aL2"/>
    <w:next w:val="BodyText"/>
    <w:qFormat/>
    <w:pPr>
      <w:numPr>
        <w:ilvl w:val="0"/>
        <w:numId w:val="2"/>
      </w:numPr>
      <w:outlineLvl w:val="2"/>
    </w:pPr>
    <w:rPr/>
  </w:style>
  <w:style w:type="paragraph" w:styleId="Outline1aL4">
    <w:name w:val="Outline1a_L4"/>
    <w:basedOn w:val="Outline1aL3"/>
    <w:next w:val="BodyText"/>
    <w:qFormat/>
    <w:pPr>
      <w:numPr>
        <w:ilvl w:val="0"/>
        <w:numId w:val="2"/>
      </w:numPr>
      <w:outlineLvl w:val="3"/>
    </w:pPr>
    <w:rPr/>
  </w:style>
  <w:style w:type="paragraph" w:styleId="Outline1aL5">
    <w:name w:val="Outline1a_L5"/>
    <w:basedOn w:val="Outline1aL4"/>
    <w:next w:val="BodyText"/>
    <w:qFormat/>
    <w:pPr>
      <w:numPr>
        <w:ilvl w:val="0"/>
        <w:numId w:val="2"/>
      </w:numPr>
      <w:outlineLvl w:val="4"/>
    </w:pPr>
    <w:rPr/>
  </w:style>
  <w:style w:type="paragraph" w:styleId="Outline1aL6">
    <w:name w:val="Outline1a_L6"/>
    <w:basedOn w:val="Outline1aL5"/>
    <w:next w:val="BodyText"/>
    <w:qFormat/>
    <w:pPr>
      <w:numPr>
        <w:ilvl w:val="0"/>
        <w:numId w:val="2"/>
      </w:numPr>
      <w:outlineLvl w:val="5"/>
    </w:pPr>
    <w:rPr/>
  </w:style>
  <w:style w:type="paragraph" w:styleId="Outline1aL7">
    <w:name w:val="Outline1a_L7"/>
    <w:basedOn w:val="Outline1aL6"/>
    <w:next w:val="BodyText"/>
    <w:qFormat/>
    <w:pPr>
      <w:numPr>
        <w:ilvl w:val="0"/>
        <w:numId w:val="2"/>
      </w:numPr>
      <w:outlineLvl w:val="6"/>
    </w:pPr>
    <w:rPr/>
  </w:style>
  <w:style w:type="paragraph" w:styleId="Outline1aL8">
    <w:name w:val="Outline1a_L8"/>
    <w:basedOn w:val="Outline1aL7"/>
    <w:next w:val="BodyText"/>
    <w:qFormat/>
    <w:pPr>
      <w:numPr>
        <w:ilvl w:val="0"/>
        <w:numId w:val="2"/>
      </w:numPr>
      <w:outlineLvl w:val="7"/>
    </w:pPr>
    <w:rPr/>
  </w:style>
  <w:style w:type="paragraph" w:styleId="Outline1aL9">
    <w:name w:val="Outline1a_L9"/>
    <w:basedOn w:val="Outline1aL8"/>
    <w:next w:val="BodyText"/>
    <w:qFormat/>
    <w:pPr>
      <w:numPr>
        <w:ilvl w:val="0"/>
        <w:numId w:val="2"/>
      </w:numPr>
      <w:outlineLvl w:val="8"/>
    </w:pPr>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2001-01-23T19:27:00Z</dcterms:created>
  <dc:creator>MW&amp;E</dc:creator>
  <dc:description/>
  <dc:language>en-CA</dc:language>
  <cp:lastModifiedBy>MW&amp;E</cp:lastModifiedBy>
  <cp:lastPrinted>2001-01-22T13:09:00Z</cp:lastPrinted>
  <dcterms:modified xsi:type="dcterms:W3CDTF">2001-01-23T19:27:00Z</dcterms:modified>
  <cp:revision>2</cp:revision>
  <dc:subject/>
  <dc:title>MCDERMOTT, WILL &amp; EMERY</dc:title>
</cp:coreProperties>
</file>