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37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2070"/>
        <w:gridCol w:w="3240"/>
        <w:gridCol w:w="2390"/>
        <w:gridCol w:w="3118"/>
      </w:tblGrid>
      <w:tr>
        <w:trPr>
          <w:trHeight w:val="500" w:hRule="atLeast"/>
        </w:trPr>
        <w:tc>
          <w:tcPr>
            <w:tcW w:w="1371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32"/>
              </w:rPr>
            </w:pPr>
            <w:r>
              <w:rPr>
                <w:sz w:val="32"/>
              </w:rPr>
              <w:t>CHECKLIST FOR INTRODUCTION OF ENRONONLINE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ISSUE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RESPONSIBILTY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and Exempt Market Declaration for trading in Australian electricity derivatives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Issues investigated and draft  request for advice prepared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for trading weather, crude oil, interest rates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by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Issues investigated and draft request for advice prepared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Procedures developed to ensure operation of EnronOnline complies with EAF legislative and electricity market obligations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Amend Password Agreement &amp; Electronic Trading Agreement for Australia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Draft of each prepared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Produce GTC’s for each electricity derivative product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Description for each electricity product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product description signed off by Legal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ISSUE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RESPONSIBILTY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DUE DATE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existing Master agreements to ensure consistent with application to EnronOnline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January 2000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all Business names &amp; intellectual property associated with EnronOnline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enforceable of contracts entered into through EnronOnline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no other regulatory impacts through use of EnronOnline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domain names in Australia to prevent misuse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E.Katz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enrononline.com.au” registered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 November 1999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Ensure Enrononline complies with of evidence Act and other legislation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D. Minns/MSJ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Capable of proving to counterparties that system will provide sufficient evidence on terms of transactions (eg version of GTCs that apply to particular transaction).  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Ensure presentation material contains no statements that may be misleading or deceptive under the </w:t>
            </w:r>
            <w:r>
              <w:rPr>
                <w:i/>
                <w:sz w:val="24"/>
              </w:rPr>
              <w:t>Trade Practices Act.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Legal signoff of presentation material </w:t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Prior to release to third parties</w:t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1999-11-21T22:53:00Z</dcterms:created>
  <dc:creator>knoyce</dc:creator>
  <dc:description/>
  <dc:language>en-CA</dc:language>
  <cp:lastModifiedBy>David Minns</cp:lastModifiedBy>
  <cp:lastPrinted>1999-11-22T12:23:00Z</cp:lastPrinted>
  <dcterms:modified xsi:type="dcterms:W3CDTF">1999-11-23T05:07:00Z</dcterms:modified>
  <cp:revision>4</cp:revision>
  <dc:subject/>
  <dc:title>CHECKLIST FOR INTRODUCTION OF ENRON ONLINE</dc:title>
</cp:coreProperties>
</file>