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34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250"/>
        <w:gridCol w:w="2700"/>
        <w:gridCol w:w="3240"/>
        <w:gridCol w:w="2250"/>
      </w:tblGrid>
      <w:tr>
        <w:trPr>
          <w:tblHeader w:val="true"/>
          <w:trHeight w:val="500" w:hRule="atLeast"/>
        </w:trPr>
        <w:tc>
          <w:tcPr>
            <w:tcW w:w="134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sz w:val="32"/>
              </w:rPr>
            </w:pPr>
            <w:r>
              <w:rPr>
                <w:sz w:val="32"/>
              </w:rPr>
              <w:t>CHECKLIST FOR INTRODUCTION OF ENRONONLINE</w:t>
            </w:r>
          </w:p>
        </w:tc>
      </w:tr>
      <w:tr>
        <w:trPr>
          <w:tblHeader w:val="true"/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ISSUE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RESPONSIBILTY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COMPLETION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DUE DATE</w:t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Compliance with Corporations Law and Exempt Market Declaration for trading in Australian electricity derivatives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MSJ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from Legal and external counsel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External advice received</w:t>
            </w:r>
          </w:p>
          <w:p>
            <w:pPr>
              <w:pStyle w:val="Normal"/>
              <w:rPr/>
            </w:pPr>
            <w:r>
              <w:rPr>
                <w:sz w:val="24"/>
              </w:rPr>
              <w:t>[</w:t>
            </w:r>
            <w:r>
              <w:rPr>
                <w:b/>
                <w:sz w:val="24"/>
              </w:rPr>
              <w:t>COMPLETE</w:t>
            </w:r>
            <w:r>
              <w:rPr>
                <w:sz w:val="24"/>
              </w:rPr>
              <w:t>]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15 December 1999</w:t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Compliance with Corporations Law for trading weather, crude oil, interest rates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MSJ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by Legal and external counsel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Identified issues relating to use of standard GTC’s that need to be checked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Deferred</w:t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Procedures developed to ensure operation of EnronOnline complies with EAF legislative and electricity market obligations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D. Minns / MSJ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from Legal and  external counsel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Obligations identified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Need to review organisational details for EnronOnline in Australia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31 December 1999</w:t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Amend Password Agreement &amp; Electronic Trading Agreement for Australia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D. Minns MSJ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from Legal and  external counsel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Draft of each prepared by DM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Awaiting MSJ advice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31 January 2000</w:t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Produce GTC’s for each electricity derivative product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D. Minns / MSJ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from Legal and external counsel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Draft prepared by DM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Awaiting MSJ advice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31 January 2000</w:t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Description for each electricity product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Each product description signed off by Legal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Form prepared for swap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31 January 2000</w:t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Review existing Master agreements to ensure consistent with application to EnronOnline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D. Minns/MSJ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from Legal and external counsel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Standard Enron ISDA reviewed and no required amendments identified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31 January 2000</w:t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Register all Business names &amp; intellectual property associated with EnronOnline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MSJ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from Legal and external counsel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15 December 1999</w:t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Confirm enforceable of contracts entered into through EnronOnline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MSJ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from Legal and external counsel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Advice from MSJ</w:t>
            </w:r>
          </w:p>
          <w:p>
            <w:pPr>
              <w:pStyle w:val="Normal"/>
              <w:rPr/>
            </w:pPr>
            <w:r>
              <w:rPr>
                <w:sz w:val="24"/>
              </w:rPr>
              <w:t>[</w:t>
            </w:r>
            <w:r>
              <w:rPr>
                <w:b/>
                <w:sz w:val="24"/>
              </w:rPr>
              <w:t>COMPLETE</w:t>
            </w:r>
            <w:r>
              <w:rPr>
                <w:sz w:val="24"/>
              </w:rPr>
              <w:t>]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15 December 1999</w:t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Confirm no other regulatory impacts through use of EnronOnline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MSJ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from Legal and external counsel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No issues identified</w:t>
            </w:r>
          </w:p>
          <w:p>
            <w:pPr>
              <w:pStyle w:val="Normal"/>
              <w:rPr/>
            </w:pPr>
            <w:r>
              <w:rPr>
                <w:sz w:val="24"/>
              </w:rPr>
              <w:t>[</w:t>
            </w:r>
            <w:r>
              <w:rPr>
                <w:b/>
                <w:sz w:val="24"/>
              </w:rPr>
              <w:t>COMPLETE</w:t>
            </w:r>
            <w:r>
              <w:rPr>
                <w:sz w:val="24"/>
              </w:rPr>
              <w:t>]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15 December 1999</w:t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Register domain names in Australia to prevent misuse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E.Katz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z w:val="24"/>
              </w:rPr>
              <w:t>enrononline.com.au” registered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>[</w:t>
            </w:r>
            <w:r>
              <w:rPr>
                <w:b/>
                <w:sz w:val="24"/>
              </w:rPr>
              <w:t>COMPLETE</w:t>
            </w:r>
            <w:r>
              <w:rPr>
                <w:sz w:val="24"/>
              </w:rPr>
              <w:t>]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30 November 1999</w:t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Ensure Enrononline complies with of evidence Act and other legislation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D. Minns/MSJ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Capable of proving to counterparties that system will provide sufficient evidence on terms of transactions (eg version of GTCs that apply to particular transaction).  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Legislation reviewed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Clarifying operation of EnronOnline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Ensure presentation material contains no statements that may be misleading or deceptive under the </w:t>
            </w:r>
            <w:r>
              <w:rPr>
                <w:i/>
                <w:sz w:val="24"/>
              </w:rPr>
              <w:t>Trade Practices Act.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D. Minns/MSJ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Legal signoff of presentation material 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Prior to release to third parties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orient="landscape" w:w="15840" w:h="122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2870" w:leader="none"/>
      </w:tabs>
      <w:rPr/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/mnt/main-storage/datasets/enron-docs/doc/CHECKLIST_FOR_INTRODUCTION_OF_ENRON_ONLINE-7e64806469f06f225b75aaa54e6e71c40c610104f04687480c24892d0d9ad2f0.doc</w:t>
    </w:r>
    <w:r>
      <w:rPr>
        <w:sz w:val="16"/>
        <w:lang w:eastAsia="en-US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A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1999-11-21T22:53:00Z</dcterms:created>
  <dc:creator>knoyce</dc:creator>
  <dc:description/>
  <dc:language>en-CA</dc:language>
  <cp:lastModifiedBy>swicks</cp:lastModifiedBy>
  <cp:lastPrinted>2000-01-20T17:06:00Z</cp:lastPrinted>
  <dcterms:modified xsi:type="dcterms:W3CDTF">2000-01-20T03:38:00Z</dcterms:modified>
  <cp:revision>10</cp:revision>
  <dc:subject/>
  <dc:title>CHECKLIST FOR INTRODUCTION OF ENRON ONLINE</dc:title>
</cp:coreProperties>
</file>