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December 21, 2000</w:t>
      </w:r>
    </w:p>
    <w:p>
      <w:pPr>
        <w:pStyle w:val="Normal"/>
        <w:rPr/>
      </w:pPr>
      <w:r>
        <w:rPr/>
      </w:r>
    </w:p>
    <w:p>
      <w:pPr>
        <w:pStyle w:val="Normal"/>
        <w:rPr/>
      </w:pPr>
      <w:r>
        <w:rPr/>
      </w:r>
    </w:p>
    <w:p>
      <w:pPr>
        <w:pStyle w:val="Normal"/>
        <w:jc w:val="center"/>
        <w:rPr>
          <w:b/>
          <w:sz w:val="36"/>
          <w:u w:val="single"/>
        </w:rPr>
      </w:pPr>
      <w:r>
        <w:rPr>
          <w:b/>
          <w:sz w:val="36"/>
          <w:u w:val="single"/>
        </w:rPr>
        <w:t>DRAFT</w:t>
      </w:r>
    </w:p>
    <w:p>
      <w:pPr>
        <w:pStyle w:val="Normal"/>
        <w:rPr>
          <w:b/>
          <w:sz w:val="36"/>
          <w:u w:val="single"/>
        </w:rPr>
      </w:pPr>
      <w:r>
        <w:rPr>
          <w:b/>
          <w:sz w:val="36"/>
          <w:u w:val="single"/>
        </w:rPr>
      </w:r>
    </w:p>
    <w:p>
      <w:pPr>
        <w:pStyle w:val="Normal"/>
        <w:rPr/>
      </w:pPr>
      <w:r>
        <w:rPr/>
      </w:r>
    </w:p>
    <w:p>
      <w:pPr>
        <w:pStyle w:val="Normal"/>
        <w:rPr/>
      </w:pPr>
      <w:r>
        <w:rPr/>
        <w:t>Enron North America Corp.</w:t>
      </w:r>
    </w:p>
    <w:p>
      <w:pPr>
        <w:pStyle w:val="Normal"/>
        <w:rPr/>
      </w:pPr>
      <w:r>
        <w:rPr/>
        <w:t>1400 Smith Street</w:t>
      </w:r>
    </w:p>
    <w:p>
      <w:pPr>
        <w:pStyle w:val="Normal"/>
        <w:spacing w:before="0" w:after="240"/>
        <w:rPr/>
      </w:pPr>
      <w:r>
        <w:rPr/>
        <w:t>Houston, Texas  77002</w:t>
      </w:r>
    </w:p>
    <w:p>
      <w:pPr>
        <w:pStyle w:val="Normal"/>
        <w:spacing w:before="0" w:after="240"/>
        <w:ind w:hanging="720" w:start="2160" w:end="0"/>
        <w:rPr/>
      </w:pPr>
      <w:r>
        <w:rPr/>
        <w:t>Re:</w:t>
        <w:tab/>
        <w:t xml:space="preserve">Master Agreement between Enron North America Corp. (“Enron”) and  The City of Eugene, Oregon, acting by and through the Eugene Water &amp; Electric Board ("EWEB") </w:t>
      </w:r>
    </w:p>
    <w:p>
      <w:pPr>
        <w:pStyle w:val="Normal"/>
        <w:spacing w:before="0" w:after="240"/>
        <w:rPr/>
      </w:pPr>
      <w:r>
        <w:rPr/>
        <w:t>Ladies and Gentlemen:</w:t>
      </w:r>
    </w:p>
    <w:p>
      <w:pPr>
        <w:pStyle w:val="Normal"/>
        <w:spacing w:before="0" w:after="240"/>
        <w:ind w:firstLine="1440" w:end="0"/>
        <w:jc w:val="both"/>
        <w:rPr/>
      </w:pPr>
      <w:r>
        <w:rPr/>
        <w:t>We are attorneys admitted to practice law in the State of Oregon, and we are generally familiar with the affairs of EWEB.  We have examined and are familiar with (i) the documents relating to the creation, authorization, organization, existence, and operation of EWEB, (ii) the ISDA Master Agreement, dated as of _______________, by and between EWEB and Enron (together with the Schedule thereto, any other documents incorporated by reference therein or made a part thereof, and any Credit Support Document to which EWEB is a party, (collectively, the “Swap Agreement”), (iii) the Confirmation, dated _______ and _________, by and between EWEB and Enron (the “Confirmations”) (the Swap Agreement and the Confirmation, collectively, the “Agreement”), and (iv) all necessary documentation of EWEB relating to its authorization, execution, delivery, and performance of the Agreement .</w:t>
      </w:r>
    </w:p>
    <w:p>
      <w:pPr>
        <w:pStyle w:val="Normal"/>
        <w:spacing w:before="0" w:after="240"/>
        <w:ind w:firstLine="1440" w:end="0"/>
        <w:jc w:val="both"/>
        <w:rPr/>
      </w:pPr>
      <w:r>
        <w:rPr/>
        <w:t>Based upon the foregoing, we are of the opinion that:</w:t>
      </w:r>
    </w:p>
    <w:p>
      <w:pPr>
        <w:pStyle w:val="Normal"/>
        <w:spacing w:before="0" w:after="240"/>
        <w:ind w:firstLine="1440" w:end="0"/>
        <w:jc w:val="both"/>
        <w:rPr/>
      </w:pPr>
      <w:r>
        <w:rPr/>
        <w:t>1.</w:t>
        <w:tab/>
        <w:t>EWEB is duly organized, validly existing, and in good standing under the constitution and laws of the State of Oregon.</w:t>
      </w:r>
    </w:p>
    <w:p>
      <w:pPr>
        <w:pStyle w:val="Normal"/>
        <w:spacing w:before="0" w:after="240"/>
        <w:ind w:firstLine="1440" w:end="0"/>
        <w:jc w:val="both"/>
        <w:rPr/>
      </w:pPr>
      <w:r>
        <w:rPr/>
        <w:t>2.</w:t>
        <w:tab/>
        <w:t xml:space="preserve">  Pursuant to Article XI, Section II of the Oregon Constitution and ORS Chapter 221 and 225, including but not limited to ORS 225.020, 225.030, 225.230, 225.240, and 225.250, EWEB has broad general powers to purchase and sell electricity.  In addition, ORS 261.348 specifically authorizes entities such as EWEB to enter into transactions for the production, supply and delivery of electricity on an economic, dependable and cost-effective basis, including financial products contracts and other service contracts that reduce the risk of economic losses in the transactions.  In our opinion, it is more likely than not that a court would hold that ORS 261.348 fully authorizes EWEB to enter into and perform the Agreement.  However, since no Oregon case has to date addressed the scope of ORS 261.348, we must clearly state that our opinion is based on our reasoned reading of the statute, in the context of EWEB's other broad authorities. If a conclusive determination as to EWEB's authority in this regard is sought, ORS Chapter 33 provides a mechanism to obtain judicial validation of transactions involving issues not yet considered by the courts.</w:t>
      </w:r>
    </w:p>
    <w:p>
      <w:pPr>
        <w:pStyle w:val="Normal"/>
        <w:spacing w:before="0" w:after="240"/>
        <w:ind w:firstLine="1440" w:end="0"/>
        <w:jc w:val="both"/>
        <w:rPr/>
      </w:pPr>
      <w:r>
        <w:rPr/>
        <w:t>3.  All necessary action and all necessary determinations and findings to authorize EWEB’s execution, delivery, and performance of the Agreement have been taken and made.  The individual(s) executing and delivering the Agreement are duly empowered and authorized to do so.  EWEB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pPr>
      <w:r>
        <w:rPr/>
        <w:t>4.</w:t>
        <w:tab/>
        <w:t>Such execution, delivery, and performance do not violate, conflict with, or constitute a breach or default under, any law applicable to EWEB, any provision of its constitutional documents, any order or judgment of any court or agency of government applicable to it or any of its assets.</w:t>
      </w:r>
    </w:p>
    <w:p>
      <w:pPr>
        <w:pStyle w:val="Normal"/>
        <w:spacing w:before="0" w:after="240"/>
        <w:ind w:firstLine="1440" w:end="0"/>
        <w:jc w:val="both"/>
        <w:rPr/>
      </w:pPr>
      <w:r>
        <w:rPr/>
        <w:t>5.</w:t>
        <w:tab/>
        <w:t>All governmental and other consents, approvals, registrations, licenses, or exemptions that are required to have been obtained by EWEB with respect to the Agreement, or any other documentation relating to the Agreement to which it is a party have been obtained and are in full force and effect, and all conditions thereof have been complied with.</w:t>
      </w:r>
    </w:p>
    <w:p>
      <w:pPr>
        <w:pStyle w:val="Normal"/>
        <w:spacing w:before="0" w:after="240"/>
        <w:ind w:firstLine="1440" w:end="0"/>
        <w:jc w:val="both"/>
        <w:rPr/>
      </w:pPr>
      <w:r>
        <w:rPr/>
        <w:t>6.</w:t>
        <w:tab/>
        <w:t>There is not pending or, to our knowledge, threatened against EWEB (nor to our knowledge is there any basis for), any action, suit, claim, inquiry, investigation, or proceeding at law or in equity or before any court, tribunal, governmental body, agency, official, or arbitrator that is likely to affect the legality, validity, or enforceability against EWEB of the Agreement, or EWEB’s ability to perform its obligations under the Agreement.</w:t>
      </w:r>
    </w:p>
    <w:p>
      <w:pPr>
        <w:pStyle w:val="Normal"/>
        <w:spacing w:before="0" w:after="240"/>
        <w:ind w:firstLine="1440" w:end="0"/>
        <w:jc w:val="both"/>
        <w:rPr/>
      </w:pPr>
      <w:r>
        <w:rPr/>
        <w:t>7.</w:t>
        <w:tab/>
        <w:t>EWEB is an “eligible swap participant” as defined in the Part 35 Regulations of the U.S. Commodity Futures Trading Commission.</w:t>
      </w:r>
    </w:p>
    <w:p>
      <w:pPr>
        <w:pStyle w:val="Normal"/>
        <w:spacing w:before="0" w:after="240"/>
        <w:ind w:firstLine="1440" w:end="0"/>
        <w:jc w:val="both"/>
        <w:rPr/>
      </w:pPr>
      <w:r>
        <w:rPr/>
        <w:t>8.</w:t>
        <w:tab/>
        <w:t xml:space="preserve"> Except as expressly set forth in the Agreement, EWEB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EWEB or its revenues or assets.</w:t>
      </w:r>
    </w:p>
    <w:p>
      <w:pPr>
        <w:pStyle w:val="Normal"/>
        <w:spacing w:before="0" w:after="240"/>
        <w:ind w:firstLine="1440" w:end="0"/>
        <w:jc w:val="both"/>
        <w:rPr/>
      </w:pPr>
      <w:r>
        <w:rPr/>
        <w:t>9.</w:t>
        <w:tab/>
        <w:t>Based on information and belief obtained from EWEB's auditors and financial advisors, the Agreement and the Confirmations thereunder do not constitute any kind of investment by EWEB that is proscribed by any constitution, charter, law, rule, regulation, investment guideline or restriction, policy, government code, constituent or governing instrument, resolution, ordinance, order, writ, judgment, decree, or ruling to which EWEB (or any of its officials in his or her respective capacity as such) or its property or revenues is subject.</w:t>
      </w:r>
    </w:p>
    <w:p>
      <w:pPr>
        <w:pStyle w:val="Normal"/>
        <w:spacing w:before="0" w:after="240"/>
        <w:ind w:firstLine="1440" w:end="0"/>
        <w:jc w:val="both"/>
        <w:rPr/>
      </w:pPr>
      <w:r>
        <w:rPr/>
        <w:t>10.</w:t>
        <w:tab/>
        <w:t>Except with regard to obligations, including bonded indebtedness, entered into prior to the effective date of the Agreement, no person, firm, corporation, entity, or association other than EWEB may liquidate, borrow, encumber, or otherwise utilize the assets (including, without limitation, the assets identified in t</w:t>
      </w:r>
      <w:r>
        <w:rPr>
          <w:lang w:eastAsia="en-US"/>
        </w:rPr>
        <w:t>he Operating Fund of the Electric System)</w:t>
      </w:r>
      <w:r>
        <w:rPr/>
        <w:t xml:space="preserve"> of EWEB.</w:t>
      </w:r>
    </w:p>
    <w:p>
      <w:pPr>
        <w:pStyle w:val="Normal"/>
        <w:spacing w:before="0" w:after="240"/>
        <w:ind w:firstLine="1440" w:end="0"/>
        <w:jc w:val="both"/>
        <w:rPr/>
      </w:pPr>
      <w:r>
        <w:rPr/>
        <w:t>11.</w:t>
        <w:tab/>
        <w:t>The execution and delivery by EWEB of the Agreement and each of the Confirmations, and the performance by EWEB of its obligations thereunder, are in furtherance, and not in violation, of the public purposes for which EWEB was created and organized under the laws cited in paragraph 2, above, and pursuant to the laws of the State of Oregon.</w:t>
      </w:r>
    </w:p>
    <w:p>
      <w:pPr>
        <w:pStyle w:val="Normal"/>
        <w:spacing w:before="0" w:after="240"/>
        <w:ind w:firstLine="1440" w:end="0"/>
        <w:jc w:val="both"/>
        <w:rPr/>
      </w:pPr>
      <w:r>
        <w:rPr/>
        <w:t>12.</w:t>
        <w:tab/>
        <w:t>Based on information and belief obtained from EWEB, the obligations of EWEB to make payments to Enron under the Agreement and each Transaction (i) are not subject to appropriation or similar action, and (ii) do not (A) constitute any kind of indebtedness of EWEB or (B) create any kind of lien on or security interest in any property or revenues of EWEB which, in either case (A) or (B), is proscribed by any constitution, charter, law, rule, regulation, investment guideline or restriction, policy, government code, constituent or governing instrument, resolution, ordinance, order, writ, judgment, decree, or ruling to which EWEB (or any of its officials in his or her respective capacity as such) or its property or revenues is subject.</w:t>
      </w:r>
    </w:p>
    <w:p>
      <w:pPr>
        <w:pStyle w:val="Normal"/>
        <w:spacing w:before="0" w:after="240"/>
        <w:ind w:firstLine="1440" w:end="0"/>
        <w:jc w:val="both"/>
        <w:rPr/>
      </w:pPr>
      <w:r>
        <w:rPr/>
        <w:t>12.</w:t>
        <w:tab/>
        <w:t>EWEB’s obligations under the Agreement are, and until the termination of this Agreement pursuant to the terms hereof shall remain, payable solely from t</w:t>
      </w:r>
      <w:r>
        <w:rPr>
          <w:lang w:eastAsia="en-US"/>
        </w:rPr>
        <w:t>he Operating Fund of the Electric System.</w:t>
      </w:r>
    </w:p>
    <w:p>
      <w:pPr>
        <w:pStyle w:val="Normal"/>
        <w:spacing w:before="0" w:after="240"/>
        <w:ind w:firstLine="1440" w:end="0"/>
        <w:jc w:val="both"/>
        <w:rPr/>
      </w:pPr>
      <w:r>
        <w:rPr/>
      </w:r>
    </w:p>
    <w:p>
      <w:pPr>
        <w:pStyle w:val="BodyText"/>
        <w:ind w:hanging="0" w:end="0"/>
        <w:rPr/>
      </w:pPr>
      <w:r>
        <w:rPr/>
      </w:r>
    </w:p>
    <w:p>
      <w:pPr>
        <w:pStyle w:val="Normal"/>
        <w:jc w:val="center"/>
        <w:rPr/>
      </w:pPr>
      <w:r>
        <w:rPr/>
        <w:t>Very truly yours,</w:t>
      </w:r>
    </w:p>
    <w:p>
      <w:pPr>
        <w:pStyle w:val="Normal"/>
        <w:jc w:val="center"/>
        <w:rPr/>
      </w:pPr>
      <w:r>
        <w:rPr/>
      </w:r>
    </w:p>
    <w:p>
      <w:pPr>
        <w:pStyle w:val="Normal"/>
        <w:jc w:val="center"/>
        <w:rPr/>
      </w:pPr>
      <w:r>
        <w:rPr/>
      </w:r>
    </w:p>
    <w:p>
      <w:pPr>
        <w:pStyle w:val="Normal"/>
        <w:jc w:val="center"/>
        <w:rPr/>
      </w:pPr>
      <w:r>
        <w:rPr/>
      </w:r>
    </w:p>
    <w:p>
      <w:pPr>
        <w:pStyle w:val="Normal"/>
        <w:jc w:val="center"/>
        <w:rPr/>
      </w:pPr>
      <w:r>
        <w:rPr/>
        <w:t>J. Laurence Cable</w:t>
      </w:r>
    </w:p>
    <w:p>
      <w:pPr>
        <w:pStyle w:val="Normal"/>
        <w:jc w:val="center"/>
        <w:rPr/>
      </w:pPr>
      <w:r>
        <w:rPr/>
      </w:r>
    </w:p>
    <w:p>
      <w:pPr>
        <w:pStyle w:val="Normal"/>
        <w:rPr/>
      </w:pPr>
      <w:r>
        <w:rPr/>
        <w:t>JLC:tr</w:t>
      </w:r>
    </w:p>
    <w:p>
      <w:pPr>
        <w:pStyle w:val="Normal"/>
        <w:rPr/>
      </w:pPr>
      <w:r>
        <w:rPr/>
        <w:t>Enclosure(s)</w:t>
      </w:r>
    </w:p>
    <w:p>
      <w:pPr>
        <w:pStyle w:val="Normal"/>
        <w:ind w:hanging="720" w:start="720" w:end="0"/>
        <w:rPr/>
      </w:pPr>
      <w:r>
        <w:rPr/>
        <w:t>cc:</w:t>
        <w:tab/>
        <w:t>Dick Varner</w:t>
      </w:r>
    </w:p>
    <w:p>
      <w:pPr>
        <w:pStyle w:val="Normal"/>
        <w:rPr/>
      </w:pPr>
      <w:r>
        <w:rPr/>
        <w:tab/>
        <w:t>Scott Spettel</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/mnt/main-storage/datasets/enron-docs/doc/CHBH_Legal_Opinion_re_EWEB_Enron_ISDA.doc</w:t>
    </w:r>
    <w:r>
      <w:rPr>
        <w:rStyle w:val="PageNumbe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8"/>
      </w:rPr>
    </w:pPr>
    <w:r>
      <w:rPr>
        <w:sz w:val="18"/>
        <w:lang w:eastAsia="en-US"/>
      </w:rPr>
      <w:fldChar w:fldCharType="begin"/>
    </w:r>
    <w:r>
      <w:rPr>
        <w:sz w:val="18"/>
        <w:lang w:eastAsia="en-US"/>
      </w:rPr>
      <w:instrText xml:space="preserve"> FILENAME \p </w:instrText>
    </w:r>
    <w:r>
      <w:rPr>
        <w:sz w:val="18"/>
        <w:lang w:eastAsia="en-US"/>
      </w:rPr>
      <w:fldChar w:fldCharType="separate"/>
    </w:r>
    <w:r>
      <w:rPr>
        <w:sz w:val="18"/>
        <w:lang w:eastAsia="en-US"/>
      </w:rPr>
      <w:t>/mnt/main-storage/datasets/enron-docs/doc/CHBH_Legal_Opinion_re_EWEB_Enron_ISDA.doc</w:t>
    </w:r>
    <w:r>
      <w:rPr>
        <w:sz w:val="18"/>
        <w:lang w:eastAsia="en-US"/>
      </w:rPr>
      <w:fldChar w:fldCharType="end"/>
    </w:r>
  </w:p>
  <w:p>
    <w:pPr>
      <w:pStyle w:val="Footer"/>
      <w:jc w:val="end"/>
      <w:rPr>
        <w:b/>
        <w:sz w:val="18"/>
      </w:rPr>
    </w:pPr>
    <w:r>
      <w:rPr>
        <w:b/>
        <w:sz w:val="18"/>
      </w:rPr>
    </w:r>
  </w:p>
  <w:p>
    <w:pPr>
      <w:pStyle w:val="Footer"/>
      <w:jc w:val="center"/>
      <w:rPr>
        <w:b/>
        <w:sz w:val="18"/>
      </w:rPr>
    </w:pPr>
    <w:r>
      <w:rPr>
        <w:b/>
        <w:sz w:val="18"/>
      </w:rPr>
      <w:t>Corvallis Office – 582 NW Van Buren, Corvallis, OR  97339 (541) 754-7477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mallCaps/>
        <w:sz w:val="20"/>
      </w:rPr>
    </w:pPr>
    <w:r>
      <w:rPr>
        <w:b/>
        <w:smallCaps/>
        <w:sz w:val="20"/>
      </w:rPr>
      <w:t>Cable Huston Benedict Haagensen &amp; Lloyd llp</w:t>
    </w:r>
  </w:p>
  <w:p>
    <w:pPr>
      <w:pStyle w:val="Header"/>
      <w:rPr>
        <w:b/>
        <w:smallCaps/>
        <w:sz w:val="20"/>
      </w:rPr>
    </w:pPr>
    <w:r>
      <w:rPr>
        <w:b/>
        <w:smallCaps/>
        <w:sz w:val="20"/>
      </w:rPr>
    </w:r>
  </w:p>
  <w:p>
    <w:pPr>
      <w:pStyle w:val="Normal"/>
      <w:rPr>
        <w:b/>
        <w:smallCaps/>
        <w:sz w:val="20"/>
      </w:rPr>
    </w:pPr>
    <w:r>
      <w:rPr>
        <w:b/>
        <w:smallCaps/>
        <w:sz w:val="20"/>
      </w:rPr>
    </w:r>
  </w:p>
  <w:p>
    <w:pPr>
      <w:pStyle w:val="Normal"/>
      <w:rPr/>
    </w:pPr>
    <w:r>
      <w:rPr/>
      <w:fldChar w:fldCharType="begin"/>
    </w:r>
    <w:r>
      <w:rPr/>
      <w:instrText xml:space="preserve"> DATE \@"MMMM\ d', 'yyyy" </w:instrText>
    </w:r>
    <w:r>
      <w:rPr/>
      <w:fldChar w:fldCharType="separate"/>
    </w:r>
    <w:r>
      <w:rPr/>
      <w:t>September 28, 2025</w:t>
    </w:r>
    <w:r>
      <w:rPr/>
      <w:fldChar w:fldCharType="end"/>
    </w:r>
  </w:p>
  <w:p>
    <w:pPr>
      <w:pStyle w:val="Normal"/>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Normal"/>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smallCaps/>
        <w:sz w:val="32"/>
      </w:rPr>
      <w:t>cable huston benedict haagensen &amp; lloyd</w:t>
    </w:r>
    <w:r>
      <w:rPr>
        <w:b/>
        <w:smallCaps/>
        <w:sz w:val="28"/>
      </w:rPr>
      <w:t xml:space="preserve"> llp</w:t>
    </w:r>
  </w:p>
  <w:p>
    <w:pPr>
      <w:pStyle w:val="Header"/>
      <w:jc w:val="center"/>
      <w:rPr>
        <w:b/>
        <w:smallCaps/>
      </w:rPr>
    </w:pPr>
    <w:r>
      <w:rPr>
        <w:b/>
        <w:smallCaps/>
      </w:rPr>
      <w:t>attorneys at law</w:t>
    </w:r>
  </w:p>
  <w:p>
    <w:pPr>
      <w:pStyle w:val="Header"/>
      <w:jc w:val="center"/>
      <w:rPr>
        <w:b/>
        <w:smallCaps/>
        <w:sz w:val="20"/>
      </w:rPr>
    </w:pPr>
    <w:r>
      <w:rPr>
        <w:b/>
        <w:smallCaps/>
        <w:sz w:val="20"/>
      </w:rPr>
      <w:t>suite 2000</w:t>
    </w:r>
  </w:p>
  <w:p>
    <w:pPr>
      <w:pStyle w:val="Header"/>
      <w:jc w:val="center"/>
      <w:rPr>
        <w:b/>
        <w:smallCaps/>
        <w:sz w:val="20"/>
      </w:rPr>
    </w:pPr>
    <w:r>
      <w:rPr>
        <w:b/>
        <w:smallCaps/>
        <w:sz w:val="20"/>
      </w:rPr>
      <w:t>1001 sw fifth avenue</w:t>
    </w:r>
  </w:p>
  <w:p>
    <w:pPr>
      <w:pStyle w:val="Header"/>
      <w:jc w:val="center"/>
      <w:rPr/>
    </w:pPr>
    <w:r>
      <w:rPr>
        <w:b/>
        <w:smallCaps/>
      </w:rPr>
      <w:t>portland, oregon</w:t>
    </w:r>
    <w:r>
      <w:rPr>
        <w:b/>
        <w:smallCaps/>
        <w:sz w:val="28"/>
      </w:rPr>
      <w:t xml:space="preserve"> </w:t>
    </w:r>
    <w:r>
      <w:rPr>
        <w:b/>
        <w:smallCaps/>
      </w:rPr>
      <w:t>97204-1136</w:t>
    </w:r>
  </w:p>
  <w:p>
    <w:pPr>
      <w:pStyle w:val="Header"/>
      <w:jc w:val="center"/>
      <w:rPr>
        <w:b/>
        <w:smallCaps/>
        <w:lang w:val="en-CA"/>
      </w:rPr>
    </w:pPr>
    <w:r>
      <w:rPr>
        <w:b/>
        <w:smallCaps/>
        <w:lang w:val="en-CA"/>
      </w:rPr>
      <mc:AlternateContent>
        <mc:Choice Requires="wps">
          <w:drawing>
            <wp:anchor behindDoc="1" distT="0" distB="0" distL="114935" distR="114935" simplePos="0" locked="0" layoutInCell="1" allowOverlap="1" relativeHeight="2">
              <wp:simplePos x="0" y="0"/>
              <wp:positionH relativeFrom="column">
                <wp:posOffset>1920240</wp:posOffset>
              </wp:positionH>
              <wp:positionV relativeFrom="paragraph">
                <wp:posOffset>129540</wp:posOffset>
              </wp:positionV>
              <wp:extent cx="2103120" cy="0"/>
              <wp:effectExtent l="0" t="5080" r="0" b="5080"/>
              <wp:wrapNone/>
              <wp:docPr id="1" name=""/>
              <a:graphic xmlns:a="http://schemas.openxmlformats.org/drawingml/2006/main">
                <a:graphicData uri="http://schemas.microsoft.com/office/word/2010/wordprocessingShape">
                  <wps:wsp>
                    <wps:cNvSpPr/>
                    <wps:spPr>
                      <a:xfrm>
                        <a:off x="0" y="0"/>
                        <a:ext cx="2103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1.2pt,10.2pt" to="316.75pt,10.2pt" stroked="t" o:allowincell="f" style="position:absolute">
              <v:stroke color="black" weight="9360" joinstyle="miter" endcap="flat"/>
              <v:fill o:detectmouseclick="t" on="false"/>
              <w10:wrap type="none"/>
            </v:line>
          </w:pict>
        </mc:Fallback>
      </mc:AlternateContent>
    </w:r>
  </w:p>
  <w:p>
    <w:pPr>
      <w:pStyle w:val="Header"/>
      <w:jc w:val="center"/>
      <w:rPr>
        <w:b/>
        <w:smallCaps/>
        <w:sz w:val="20"/>
      </w:rPr>
    </w:pPr>
    <w:r>
      <w:rPr>
        <w:b/>
        <w:smallCaps/>
        <w:sz w:val="20"/>
      </w:rPr>
      <w:t>telephone (503) 224-3092</w:t>
    </w:r>
  </w:p>
  <w:p>
    <w:pPr>
      <w:pStyle w:val="Header"/>
      <w:jc w:val="center"/>
      <w:rPr>
        <w:b/>
        <w:smallCaps/>
        <w:sz w:val="20"/>
      </w:rPr>
    </w:pPr>
    <w:r>
      <w:rPr>
        <w:b/>
        <w:smallCaps/>
        <w:sz w:val="20"/>
      </w:rPr>
      <w:t>facsimile (503) 224-3176</w:t>
    </w:r>
  </w:p>
  <w:p>
    <w:pPr>
      <w:pStyle w:val="Header"/>
      <w:ind w:start="-720" w:end="0"/>
      <w:rPr>
        <w:smallCaps/>
        <w:sz w:val="20"/>
      </w:rPr>
    </w:pPr>
    <w:r>
      <w:rPr>
        <w:smallCaps/>
        <w:sz w:val="20"/>
      </w:rPr>
      <w:t>J. Laurence Cable</w:t>
    </w:r>
  </w:p>
  <w:p>
    <w:pPr>
      <w:pStyle w:val="Header"/>
      <w:ind w:start="-720" w:end="0"/>
      <w:rPr>
        <w:sz w:val="16"/>
      </w:rPr>
    </w:pPr>
    <w:r>
      <w:rPr>
        <w:sz w:val="16"/>
      </w:rPr>
      <w:t>email address: lcable@chbh.com</w:t>
    </w:r>
  </w:p>
  <w:p>
    <w:pPr>
      <w:pStyle w:val="Header"/>
      <w:ind w:start="-900" w:end="0"/>
      <w:rPr>
        <w:sz w:val="16"/>
      </w:rPr>
    </w:pPr>
    <w:r>
      <w:rPr>
        <w:sz w:val="16"/>
      </w:rPr>
    </w:r>
  </w:p>
  <w:p>
    <w:pPr>
      <w:pStyle w:val="Header"/>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lvl>
    <w:lvl w:ilvl="1">
      <w:start w:val="1"/>
      <w:pStyle w:val="Heading2"/>
      <w:numFmt w:val="upperLetter"/>
      <w:lvlText w:val="%2."/>
      <w:lvlJc w:val="start"/>
      <w:pPr>
        <w:tabs>
          <w:tab w:val="num" w:pos="1440"/>
        </w:tabs>
        <w:ind w:start="1440" w:hanging="720"/>
      </w:p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lowerRoman"/>
      <w:lvlText w:val="(%5)"/>
      <w:lvlJc w:val="start"/>
      <w:pPr>
        <w:tabs>
          <w:tab w:val="num" w:pos="3600"/>
        </w:tabs>
        <w:ind w:start="3600" w:hanging="72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5"/>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numPr>
        <w:ilvl w:val="0"/>
        <w:numId w:val="1"/>
      </w:numPr>
      <w:spacing w:before="0" w:after="240"/>
      <w:outlineLvl w:val="0"/>
    </w:pPr>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keepNext w:val="true"/>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Normal"/>
    <w:qFormat/>
    <w:pPr>
      <w:spacing w:before="240" w:after="60"/>
      <w:outlineLvl w:val="5"/>
    </w:pPr>
    <w:rPr>
      <w:i/>
      <w:sz w:val="22"/>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Quote">
    <w:name w:val="Quote"/>
    <w:basedOn w:val="Normal"/>
    <w:next w:val="BodyText"/>
    <w:qFormat/>
    <w:pPr>
      <w:spacing w:before="0" w:after="240"/>
      <w:ind w:hanging="0" w:start="1440" w:end="1440"/>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widowControl w:val="false"/>
      <w:numPr>
        <w:ilvl w:val="0"/>
        <w:numId w:val="2"/>
      </w:numPr>
      <w:ind w:hanging="720" w:start="1440" w:end="0"/>
      <w:outlineLvl w:val="0"/>
    </w:pPr>
    <w:rPr/>
  </w:style>
  <w:style w:type="paragraph" w:styleId="Level3">
    <w:name w:val="Level 3"/>
    <w:basedOn w:val="Normal"/>
    <w:qFormat/>
    <w:pPr>
      <w:widowControl w:val="false"/>
      <w:numPr>
        <w:ilvl w:val="0"/>
        <w:numId w:val="2"/>
      </w:numPr>
      <w:ind w:hanging="720" w:start="2160" w:end="0"/>
      <w:outlineLvl w:val="2"/>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JLC Ltr Template.dot</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2000-12-11T19:08:00Z</dcterms:created>
  <dc:creator>Jim Deason</dc:creator>
  <dc:description/>
  <dc:language>en-CA</dc:language>
  <cp:lastModifiedBy>Jim Deason</cp:lastModifiedBy>
  <cp:lastPrinted>2000-12-21T17:30:00Z</cp:lastPrinted>
  <dcterms:modified xsi:type="dcterms:W3CDTF">2000-12-21T23:03:00Z</dcterms:modified>
  <cp:revision>12</cp:revision>
  <dc:subject>8 inch pipe</dc:subject>
  <dc:title>March 15, 1999</dc:title>
</cp:coreProperties>
</file>