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media/image4.wmf" ContentType="image/x-wmf"/>
  <Override PartName="/word/media/image5.wmf" ContentType="image/x-wmf"/>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48"/>
        </w:rPr>
      </w:pPr>
      <w:r>
        <w:rPr>
          <w:sz w:val="48"/>
        </w:rPr>
      </w:r>
    </w:p>
    <w:p>
      <w:pPr>
        <w:pStyle w:val="Normal"/>
        <w:rPr>
          <w:sz w:val="48"/>
          <w:lang w:val="en-CA" w:eastAsia="en-CA"/>
        </w:rPr>
      </w:pPr>
      <w:r>
        <w:rPr>
          <w:sz w:val="48"/>
          <w:lang w:val="en-CA" w:eastAsia="en-CA"/>
        </w:rPr>
        <mc:AlternateContent>
          <mc:Choice Requires="wps">
            <w:drawing>
              <wp:anchor behindDoc="1" distT="0" distB="0" distL="114935" distR="114935" simplePos="0" locked="0" layoutInCell="1" allowOverlap="1" relativeHeight="29">
                <wp:simplePos x="0" y="0"/>
                <wp:positionH relativeFrom="column">
                  <wp:posOffset>1270000</wp:posOffset>
                </wp:positionH>
                <wp:positionV relativeFrom="paragraph">
                  <wp:posOffset>2552065</wp:posOffset>
                </wp:positionV>
                <wp:extent cx="4156075" cy="2374900"/>
                <wp:effectExtent l="10795" t="9525" r="9525" b="10795"/>
                <wp:wrapNone/>
                <wp:docPr id="1" name=""/>
                <a:graphic xmlns:a="http://schemas.openxmlformats.org/drawingml/2006/main">
                  <a:graphicData uri="http://schemas.microsoft.com/office/word/2010/wordprocessingShape">
                    <wps:wsp>
                      <wps:cNvSpPr/>
                      <wps:spPr>
                        <a:xfrm>
                          <a:off x="0" y="0"/>
                          <a:ext cx="4156200" cy="2374920"/>
                        </a:xfrm>
                        <a:prstGeom prst="roundRect">
                          <a:avLst>
                            <a:gd name="adj" fmla="val 16667"/>
                          </a:avLst>
                        </a:prstGeom>
                        <a:solidFill>
                          <a:srgbClr val="ffffff"/>
                        </a:solidFill>
                        <a:ln w="19080">
                          <a:solidFill>
                            <a:srgbClr val="0066cc"/>
                          </a:solidFill>
                          <a:miter/>
                        </a:ln>
                      </wps:spPr>
                      <wps:style>
                        <a:lnRef idx="0"/>
                        <a:fillRef idx="0"/>
                        <a:effectRef idx="0"/>
                        <a:fontRef idx="minor"/>
                      </wps:style>
                      <wps:bodyPr/>
                    </wps:wsp>
                  </a:graphicData>
                </a:graphic>
              </wp:anchor>
            </w:drawing>
          </mc:Choice>
          <mc:Fallback>
            <w:pict>
              <v:roundrect id="shape_0" fillcolor="white" stroked="t" o:allowincell="f" style="position:absolute;margin-left:100pt;margin-top:200.95pt;width:327.2pt;height:186.95pt;mso-wrap-style:none;v-text-anchor:middle">
                <v:fill o:detectmouseclick="t" type="solid" color2="black"/>
                <v:stroke color="#0066cc" weight="19080" joinstyle="miter" endcap="flat"/>
                <w10:wrap type="none"/>
              </v:roundrect>
            </w:pict>
          </mc:Fallback>
        </mc:AlternateContent>
        <mc:AlternateContent>
          <mc:Choice Requires="wps">
            <w:drawing>
              <wp:anchor behindDoc="0" distT="0" distB="0" distL="114935" distR="114935" simplePos="0" locked="0" layoutInCell="1" allowOverlap="1" relativeHeight="30">
                <wp:simplePos x="0" y="0"/>
                <wp:positionH relativeFrom="column">
                  <wp:posOffset>5925820</wp:posOffset>
                </wp:positionH>
                <wp:positionV relativeFrom="paragraph">
                  <wp:posOffset>344805</wp:posOffset>
                </wp:positionV>
                <wp:extent cx="4290060" cy="6439535"/>
                <wp:effectExtent l="0" t="0" r="0" b="0"/>
                <wp:wrapNone/>
                <wp:docPr id="2" name=""/>
                <a:graphic xmlns:a="http://schemas.openxmlformats.org/drawingml/2006/main">
                  <a:graphicData uri="http://schemas.microsoft.com/office/word/2010/wordprocessingShape">
                    <wps:wsp>
                      <wps:cNvSpPr txBox="1"/>
                      <wps:spPr>
                        <a:xfrm rot="10800000">
                          <a:off x="0" y="0"/>
                          <a:ext cx="4290120" cy="6439680"/>
                        </a:xfrm>
                        <a:prstGeom prst="rect">
                          <a:avLst/>
                        </a:prstGeom>
                        <a:noFill/>
                        <a:ln w="0">
                          <a:noFill/>
                        </a:ln>
                      </wps:spPr>
                      <wps:txb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6.6pt;margin-top:27.15pt;width:337.75pt;height:507pt;mso-wrap-style:none;v-text-anchor:middle;rotation:180" type="_x0000_t202">
                <v:textbox>
                  <w:txbxContent>
                    <w:p>
                      <w:pPr>
                        <w:overflowPunct w:val="false"/>
                        <w:bidi w:val="0"/>
                        <w:spacing w:before="60" w:after="60"/>
                        <w:rPr/>
                      </w:pPr>
                      <w:r>
                        <w:rPr>
                          <w:kern w:val="2"/>
                          <w:sz w:val="80"/>
                          <w:szCs w:val="20"/>
                          <w:rFonts w:ascii="Enron Neuropol;Courier New" w:hAnsi="Enron Neuropol;Courier New" w:eastAsia="Times New Roman" w:cs="Enron Neuropol;Courier New"/>
                          <w:color w:val="808080"/>
                          <w:lang w:val="en-US" w:bidi="ar-SA"/>
                        </w:rPr>
                        <w:t>Statement of Work</w:t>
                      </w:r>
                    </w:p>
                  </w:txbxContent>
                </v:textbox>
                <v:fill o:detectmouseclick="t" on="false"/>
                <v:stroke color="#3465a4" joinstyle="round" endcap="flat"/>
                <w10:wrap type="none"/>
              </v:shape>
            </w:pict>
          </mc:Fallback>
        </mc:AlternateContent>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lang w:val="en-CA" w:eastAsia="en-CA"/>
        </w:rPr>
      </w:pPr>
      <w:r>
        <w:rPr>
          <w:sz w:val="48"/>
          <w:lang w:val="en-CA" w:eastAsia="en-CA"/>
        </w:rPr>
      </w:r>
      <w:r>
        <mc:AlternateContent>
          <mc:Choice Requires="wps">
            <w:drawing>
              <wp:anchor behindDoc="0" distT="0" distB="0" distL="114935" distR="114935" simplePos="0" locked="0" layoutInCell="1" allowOverlap="1" relativeHeight="31">
                <wp:simplePos x="0" y="0"/>
                <wp:positionH relativeFrom="column">
                  <wp:posOffset>1468755</wp:posOffset>
                </wp:positionH>
                <wp:positionV relativeFrom="paragraph">
                  <wp:posOffset>11430</wp:posOffset>
                </wp:positionV>
                <wp:extent cx="3771900" cy="2171700"/>
                <wp:effectExtent l="0" t="0" r="0" b="0"/>
                <wp:wrapNone/>
                <wp:docPr id="3" name="Frame1"/>
                <a:graphic xmlns:a="http://schemas.openxmlformats.org/drawingml/2006/main">
                  <a:graphicData uri="http://schemas.microsoft.com/office/word/2010/wordprocessingShape">
                    <wps:wsp>
                      <wps:cNvSpPr txBox="1"/>
                      <wps:spPr>
                        <a:xfrm>
                          <a:off x="0" y="0"/>
                          <a:ext cx="3771900" cy="2171700"/>
                        </a:xfrm>
                        <a:prstGeom prst="rect"/>
                        <a:solidFill>
                          <a:srgbClr val="FFFFFF"/>
                        </a:solidFill>
                      </wps:spPr>
                      <wps:txbx>
                        <w:txbxContent>
                          <w:p>
                            <w:pPr>
                              <w:pStyle w:val="Heading"/>
                              <w:spacing w:before="60" w:after="60"/>
                              <w:jc w:val="center"/>
                              <w:rPr/>
                            </w:pPr>
                            <w:r>
                              <w:rPr/>
                              <w:t>Consolidated Gas System</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b/>
                                <w:bCs/>
                                <w:sz w:val="28"/>
                              </w:rPr>
                            </w:pPr>
                            <w:r>
                              <w:rPr>
                                <w:b/>
                                <w:bCs/>
                                <w:sz w:val="28"/>
                              </w:rPr>
                            </w:r>
                          </w:p>
                        </w:txbxContent>
                      </wps:txbx>
                      <wps:bodyPr anchor="t" lIns="92075" tIns="46355" rIns="92075" bIns="46355">
                        <a:noAutofit/>
                      </wps:bodyPr>
                    </wps:wsp>
                  </a:graphicData>
                </a:graphic>
              </wp:anchor>
            </w:drawing>
          </mc:Choice>
          <mc:Fallback>
            <w:pict>
              <v:rect fillcolor="#FFFFFF" style="position:absolute;rotation:-0;width:297pt;height:171pt;mso-wrap-distance-left:9.05pt;mso-wrap-distance-right:9.05pt;mso-wrap-distance-top:0pt;mso-wrap-distance-bottom:0pt;margin-top:0.9pt;mso-position-vertical-relative:text;margin-left:115.65pt;mso-position-horizontal-relative:text">
                <v:textbox inset="0.100694444444444in,0.0506944444444444in,0.100694444444444in,0.0506944444444444in">
                  <w:txbxContent>
                    <w:p>
                      <w:pPr>
                        <w:pStyle w:val="Heading"/>
                        <w:spacing w:before="60" w:after="60"/>
                        <w:jc w:val="center"/>
                        <w:rPr/>
                      </w:pPr>
                      <w:r>
                        <w:rPr/>
                        <w:t>Consolidated Gas System</w:t>
                      </w:r>
                    </w:p>
                    <w:p>
                      <w:pPr>
                        <w:pStyle w:val="TextFront"/>
                        <w:rPr/>
                      </w:pPr>
                      <w:r>
                        <w:rPr/>
                      </w:r>
                    </w:p>
                    <w:p>
                      <w:pPr>
                        <w:pStyle w:val="BodyTextSubheading"/>
                        <w:jc w:val="center"/>
                        <w:rPr>
                          <w:b w:val="false"/>
                          <w:bCs w:val="false"/>
                          <w:i/>
                          <w:i/>
                          <w:iCs/>
                        </w:rPr>
                      </w:pPr>
                      <w:r>
                        <w:rPr>
                          <w:b w:val="false"/>
                          <w:bCs w:val="false"/>
                          <w:i/>
                          <w:iCs/>
                        </w:rPr>
                        <w:t>On behalf of:</w:t>
                      </w:r>
                    </w:p>
                    <w:p>
                      <w:pPr>
                        <w:pStyle w:val="BodyTextSubheading"/>
                        <w:jc w:val="center"/>
                        <w:rPr>
                          <w:sz w:val="28"/>
                        </w:rPr>
                      </w:pPr>
                      <w:r>
                        <w:rPr>
                          <w:sz w:val="28"/>
                        </w:rPr>
                        <w:t>Enron Net Works</w:t>
                      </w:r>
                    </w:p>
                    <w:p>
                      <w:pPr>
                        <w:pStyle w:val="Heading"/>
                        <w:spacing w:before="60" w:after="60"/>
                        <w:rPr>
                          <w:b/>
                          <w:bCs/>
                          <w:sz w:val="28"/>
                        </w:rPr>
                      </w:pPr>
                      <w:r>
                        <w:rPr>
                          <w:b/>
                          <w:bCs/>
                          <w:sz w:val="28"/>
                        </w:rPr>
                      </w:r>
                    </w:p>
                  </w:txbxContent>
                </v:textbox>
                <w10:wrap type="none"/>
              </v:rect>
            </w:pict>
          </mc:Fallback>
        </mc:AlternateContent>
      </w:r>
    </w:p>
    <w:p>
      <w:pPr>
        <w:pStyle w:val="TextFront"/>
        <w:rPr>
          <w:sz w:val="24"/>
        </w:rPr>
      </w:pPr>
      <w:r>
        <w:rPr>
          <w:sz w:val="24"/>
        </w:rPr>
      </w:r>
    </w:p>
    <w:p>
      <w:pPr>
        <w:pStyle w:val="FootnoteText"/>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headerReference w:type="default" r:id="rId3"/>
          <w:headerReference w:type="first" r:id="rId4"/>
          <w:footerReference w:type="default" r:id="rId5"/>
          <w:footerReference w:type="first" r:id="rId6"/>
          <w:type w:val="nextPage"/>
          <w:pgSz w:w="12240" w:h="15840"/>
          <w:pgMar w:left="1008" w:right="1008" w:gutter="0" w:header="720" w:top="776" w:footer="720" w:bottom="776"/>
          <w:pgNumType w:fmt="decimal"/>
          <w:formProt w:val="false"/>
          <w:titlePg/>
          <w:textDirection w:val="lrTb"/>
          <w:docGrid w:type="default" w:linePitch="360" w:charSpace="0"/>
        </w:sectPr>
        <w:pStyle w:val="Normal"/>
        <w:rPr>
          <w:lang w:val="en-CA" w:eastAsia="en-CA"/>
        </w:rPr>
      </w:pPr>
      <w:r>
        <w:rPr>
          <w:lang w:val="en-CA" w:eastAsia="en-CA"/>
        </w:rPr>
        <w:drawing>
          <wp:anchor behindDoc="1" distT="0" distB="0" distL="114935" distR="114935" simplePos="0" locked="0" layoutInCell="1" allowOverlap="1" relativeHeight="28">
            <wp:simplePos x="0" y="0"/>
            <wp:positionH relativeFrom="column">
              <wp:posOffset>-131445</wp:posOffset>
            </wp:positionH>
            <wp:positionV relativeFrom="paragraph">
              <wp:posOffset>198120</wp:posOffset>
            </wp:positionV>
            <wp:extent cx="6829425" cy="1619250"/>
            <wp:effectExtent l="0" t="0" r="0" b="0"/>
            <wp:wrapNone/>
            <wp:docPr id="4" name="site_dotpatterm_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te_dotpatterm_horiz" descr="" title=""/>
                    <pic:cNvPicPr>
                      <a:picLocks noChangeAspect="1" noChangeArrowheads="1"/>
                    </pic:cNvPicPr>
                  </pic:nvPicPr>
                  <pic:blipFill>
                    <a:blip r:embed="rId2"/>
                    <a:srcRect l="-5" t="-22" r="-5" b="-22"/>
                    <a:stretch>
                      <a:fillRect/>
                    </a:stretch>
                  </pic:blipFill>
                  <pic:spPr bwMode="auto">
                    <a:xfrm>
                      <a:off x="0" y="0"/>
                      <a:ext cx="6829425" cy="1619250"/>
                    </a:xfrm>
                    <a:prstGeom prst="rect">
                      <a:avLst/>
                    </a:prstGeom>
                    <a:noFill/>
                  </pic:spPr>
                </pic:pic>
              </a:graphicData>
            </a:graphic>
          </wp:anchor>
        </w:drawing>
      </w:r>
    </w:p>
    <w:p>
      <w:pPr>
        <w:pStyle w:val="Normal"/>
        <w:jc w:val="center"/>
        <w:rPr>
          <w:b/>
          <w:sz w:val="28"/>
          <w:u w:val="single"/>
        </w:rPr>
      </w:pPr>
      <w:r>
        <w:rPr>
          <w:b/>
          <w:sz w:val="28"/>
          <w:u w:val="single"/>
        </w:rPr>
      </w:r>
    </w:p>
    <w:p>
      <w:pPr>
        <w:pStyle w:val="BodyText3"/>
        <w:numPr>
          <w:ilvl w:val="0"/>
          <w:numId w:val="0"/>
        </w:numPr>
        <w:jc w:val="center"/>
        <w:rPr>
          <w:b/>
          <w:sz w:val="48"/>
          <w:u w:val="single"/>
        </w:rPr>
      </w:pPr>
      <w:r>
        <w:rPr>
          <w:b/>
          <w:sz w:val="48"/>
          <w:u w:val="single"/>
        </w:rPr>
        <mc:AlternateContent>
          <mc:Choice Requires="wps">
            <w:drawing>
              <wp:anchor behindDoc="0" distT="0" distB="0" distL="114935" distR="114935" simplePos="0" locked="0" layoutInCell="1" allowOverlap="1" relativeHeight="33">
                <wp:simplePos x="0" y="0"/>
                <wp:positionH relativeFrom="column">
                  <wp:posOffset>-154940</wp:posOffset>
                </wp:positionH>
                <wp:positionV relativeFrom="paragraph">
                  <wp:posOffset>4394835</wp:posOffset>
                </wp:positionV>
                <wp:extent cx="6743700" cy="2559050"/>
                <wp:effectExtent l="5080" t="5080" r="5715" b="5715"/>
                <wp:wrapNone/>
                <wp:docPr id="7" name=""/>
                <a:graphic xmlns:a="http://schemas.openxmlformats.org/drawingml/2006/main">
                  <a:graphicData uri="http://schemas.microsoft.com/office/word/2010/wordprocessingShape">
                    <wps:wsp>
                      <wps:cNvSpPr/>
                      <wps:spPr>
                        <a:xfrm>
                          <a:off x="0" y="0"/>
                          <a:ext cx="6743880" cy="2558880"/>
                        </a:xfrm>
                        <a:prstGeom prst="roundRect">
                          <a:avLst>
                            <a:gd name="adj" fmla="val 16667"/>
                          </a:avLst>
                        </a:prstGeom>
                        <a:noFill/>
                        <a:ln w="9360">
                          <a:solidFill>
                            <a:srgbClr val="0066cc"/>
                          </a:solidFill>
                          <a:miter/>
                        </a:ln>
                      </wps:spPr>
                      <wps:style>
                        <a:lnRef idx="0"/>
                        <a:fillRef idx="0"/>
                        <a:effectRef idx="0"/>
                        <a:fontRef idx="minor"/>
                      </wps:style>
                      <wps:bodyPr/>
                    </wps:wsp>
                  </a:graphicData>
                </a:graphic>
              </wp:anchor>
            </w:drawing>
          </mc:Choice>
          <mc:Fallback>
            <w:pict>
              <v:roundrect id="shape_0" stroked="t" o:allowincell="f" style="position:absolute;margin-left:-12.2pt;margin-top:346.05pt;width:530.95pt;height:201.45pt;mso-wrap-style:none;v-text-anchor:middle">
                <v:fill o:detectmouseclick="t" on="false"/>
                <v:stroke color="#0066cc" weight="9360" joinstyle="miter" endcap="flat"/>
                <w10:wrap type="none"/>
              </v:roundrect>
            </w:pict>
          </mc:Fallback>
        </mc:AlternateContent>
      </w:r>
      <w:r>
        <w:br w:type="page"/>
      </w:r>
      <w:r>
        <mc:AlternateContent>
          <mc:Choice Requires="wps">
            <w:drawing>
              <wp:anchor behindDoc="0" distT="0" distB="0" distL="114935" distR="114935" simplePos="0" locked="0" layoutInCell="1" allowOverlap="1" relativeHeight="32">
                <wp:simplePos x="0" y="0"/>
                <wp:positionH relativeFrom="column">
                  <wp:posOffset>82550</wp:posOffset>
                </wp:positionH>
                <wp:positionV relativeFrom="paragraph">
                  <wp:posOffset>4632325</wp:posOffset>
                </wp:positionV>
                <wp:extent cx="6293485" cy="2374900"/>
                <wp:effectExtent l="0" t="0" r="0" b="0"/>
                <wp:wrapNone/>
                <wp:docPr id="8" name="Frame2"/>
                <a:graphic xmlns:a="http://schemas.openxmlformats.org/drawingml/2006/main">
                  <a:graphicData uri="http://schemas.microsoft.com/office/word/2010/wordprocessingShape">
                    <wps:wsp>
                      <wps:cNvSpPr txBox="1"/>
                      <wps:spPr>
                        <a:xfrm>
                          <a:off x="0" y="0"/>
                          <a:ext cx="6293485" cy="2374900"/>
                        </a:xfrm>
                        <a:prstGeom prst="rect"/>
                        <a:solidFill>
                          <a:srgbClr val="FFFFFF"/>
                        </a:solidFill>
                      </wps:spPr>
                      <wps:txbx>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wps:txbx>
                      <wps:bodyPr anchor="t" lIns="92075" tIns="46355" rIns="92075" bIns="46355">
                        <a:noAutofit/>
                      </wps:bodyPr>
                    </wps:wsp>
                  </a:graphicData>
                </a:graphic>
              </wp:anchor>
            </w:drawing>
          </mc:Choice>
          <mc:Fallback>
            <w:pict>
              <v:rect fillcolor="#FFFFFF" style="position:absolute;rotation:-0;width:495.55pt;height:187pt;mso-wrap-distance-left:9.05pt;mso-wrap-distance-right:9.05pt;mso-wrap-distance-top:0pt;mso-wrap-distance-bottom:0pt;margin-top:364.75pt;mso-position-vertical-relative:text;margin-left:6.5pt;mso-position-horizontal-relative:text">
                <v:textbox inset="0.100694444444444in,0.0506944444444444in,0.100694444444444in,0.0506944444444444in">
                  <w:txbxContent>
                    <w:p>
                      <w:pPr>
                        <w:pStyle w:val="CopyrightText"/>
                        <w:spacing w:before="60" w:after="60"/>
                        <w:rPr/>
                      </w:pPr>
                      <w:r>
                        <w:rPr/>
                        <w:t>This document is published by:</w:t>
                      </w:r>
                    </w:p>
                    <w:p>
                      <w:pPr>
                        <w:pStyle w:val="CopyrightText"/>
                        <w:rPr/>
                      </w:pPr>
                      <w:r>
                        <w:rPr/>
                      </w:r>
                    </w:p>
                    <w:p>
                      <w:pPr>
                        <w:pStyle w:val="CopyrightText"/>
                        <w:rPr/>
                      </w:pPr>
                      <w:r>
                        <w:rPr/>
                        <w:t>Enron Corp.</w:t>
                        <w:br/>
                        <w:t>1400 Smith Street</w:t>
                        <w:br/>
                        <w:t>Houston, TX 77002</w:t>
                      </w:r>
                    </w:p>
                    <w:p>
                      <w:pPr>
                        <w:pStyle w:val="CopyrightText"/>
                        <w:rPr/>
                      </w:pPr>
                      <w:r>
                        <w:rPr/>
                        <w:t>The contents of this guide are the property of Enron Corp. The distribution of this material is intended for Enron Corp. employees. Distribution by any method to any other party is prohibited without the prior consent of Enron Corp. This guide may not be copied, photocopied, reproduced, translated, or reduced to any electronic medium without the prior written consent of Enron Corp.</w:t>
                      </w:r>
                    </w:p>
                    <w:p>
                      <w:pPr>
                        <w:pStyle w:val="CopyrightText"/>
                        <w:rPr/>
                      </w:pPr>
                      <w:r>
                        <w:rPr/>
                        <w:t>Due to the dynamic nature of internal applications development that supports innovative business processes, Enron Corp. does not warrant that all information contained in this guide accurately reflects the current state of the application’s functionality and/or appearance.</w:t>
                      </w:r>
                    </w:p>
                    <w:p>
                      <w:pPr>
                        <w:pStyle w:val="CopyrightText"/>
                        <w:spacing w:before="60" w:after="60"/>
                        <w:ind w:hanging="180" w:start="180" w:end="0"/>
                        <w:rPr/>
                      </w:pPr>
                      <w:r>
                        <w:rPr/>
                        <w:t>© 2001 Enron Corp.</w:t>
                        <w:br/>
                        <w:t>All rights reserved.</w:t>
                      </w:r>
                    </w:p>
                  </w:txbxContent>
                </v:textbox>
                <w10:wrap type="none"/>
              </v:rect>
            </w:pict>
          </mc:Fallback>
        </mc:AlternateContent>
      </w:r>
    </w:p>
    <w:p>
      <w:pPr>
        <w:pStyle w:val="BodyText3"/>
        <w:jc w:val="center"/>
        <w:rPr/>
      </w:pPr>
      <w:r>
        <w:rPr/>
        <w:t>Contents</w:t>
      </w:r>
    </w:p>
    <w:sdt>
      <w:sdtPr>
        <w:docPartObj>
          <w:docPartGallery w:val="Table of Contents"/>
          <w:docPartUnique w:val="true"/>
        </w:docPartObj>
      </w:sdtPr>
      <w:sdtContent>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r>
            <w:fldChar w:fldCharType="begin"/>
          </w:r>
          <w:r>
            <w:rPr>
              <w:rStyle w:val="IndexLink"/>
              <w:szCs w:val="28"/>
              <w:lang w:val="en-CA" w:eastAsia="en-CA"/>
            </w:rPr>
            <w:instrText xml:space="preserve"> TOC \o "1-2" \h \z </w:instrText>
          </w:r>
          <w:r>
            <w:rPr>
              <w:rStyle w:val="IndexLink"/>
              <w:szCs w:val="28"/>
              <w:lang w:val="en-CA" w:eastAsia="en-CA"/>
            </w:rPr>
            <w:fldChar w:fldCharType="separate"/>
          </w:r>
          <w:hyperlink w:anchor="__RefHeading___Toc526138693">
            <w:r>
              <w:rPr>
                <w:rStyle w:val="IndexLink"/>
                <w:szCs w:val="28"/>
                <w:lang w:val="en-CA" w:eastAsia="en-CA"/>
              </w:rPr>
              <w:t>Revision History</w:t>
            </w:r>
            <w:r>
              <w:rPr>
                <w:rStyle w:val="IndexLink"/>
                <w:lang w:val="en-CA" w:eastAsia="en-CA"/>
              </w:rPr>
              <w:tab/>
              <w:t>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4">
            <w:r>
              <w:rPr>
                <w:rStyle w:val="IndexLink"/>
                <w:lang w:val="en-CA" w:eastAsia="en-CA"/>
              </w:rPr>
              <w:t>Document Inputs</w:t>
              <w:tab/>
              <w:t>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695">
            <w:r>
              <w:rPr>
                <w:rStyle w:val="IndexLink"/>
                <w:szCs w:val="28"/>
                <w:lang w:val="en-CA" w:eastAsia="en-CA"/>
              </w:rPr>
              <w:t>I.  Introduction</w:t>
            </w:r>
            <w:r>
              <w:rPr>
                <w:rStyle w:val="IndexLink"/>
                <w:lang w:val="en-CA" w:eastAsia="en-CA"/>
              </w:rPr>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6">
            <w:r>
              <w:rPr>
                <w:rStyle w:val="IndexLink"/>
                <w:lang w:val="en-CA" w:eastAsia="en-CA"/>
              </w:rPr>
              <w:t>Document Purpose</w:t>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7">
            <w:r>
              <w:rPr>
                <w:rStyle w:val="IndexLink"/>
                <w:lang w:val="en-CA" w:eastAsia="en-CA"/>
              </w:rPr>
              <w:t>Document Scope</w:t>
              <w:tab/>
              <w:t>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698">
            <w:r>
              <w:rPr>
                <w:rStyle w:val="IndexLink"/>
                <w:lang w:val="en-CA" w:eastAsia="en-CA"/>
              </w:rPr>
              <w:t>Stakeholders</w:t>
              <w:tab/>
              <w:t>6</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699">
            <w:r>
              <w:rPr>
                <w:rStyle w:val="IndexLink"/>
                <w:szCs w:val="28"/>
                <w:lang w:val="en-CA" w:eastAsia="en-CA"/>
              </w:rPr>
              <w:t>II.  Executive Summary</w:t>
            </w:r>
            <w:r>
              <w:rPr>
                <w:rStyle w:val="IndexLink"/>
                <w:lang w:val="en-CA" w:eastAsia="en-CA"/>
              </w:rPr>
              <w:tab/>
              <w:t>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0">
            <w:r>
              <w:rPr>
                <w:rStyle w:val="IndexLink"/>
                <w:szCs w:val="28"/>
                <w:lang w:val="en-CA" w:eastAsia="en-CA"/>
              </w:rPr>
              <w:t>III. Current Business Environment</w:t>
            </w:r>
            <w:r>
              <w:rPr>
                <w:rStyle w:val="IndexLink"/>
                <w:lang w:val="en-CA" w:eastAsia="en-CA"/>
              </w:rPr>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1">
            <w:r>
              <w:rPr>
                <w:rStyle w:val="IndexLink"/>
                <w:lang w:val="en-CA" w:eastAsia="en-CA"/>
              </w:rPr>
              <w:t>Gas Systems.</w:t>
              <w:tab/>
              <w:t>8</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2">
            <w:r>
              <w:rPr>
                <w:rStyle w:val="IndexLink"/>
                <w:lang w:val="en-CA" w:eastAsia="en-CA"/>
              </w:rPr>
              <w:t>Deal Valuation.</w:t>
              <w:tab/>
              <w:t>9</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3">
            <w:r>
              <w:rPr>
                <w:rStyle w:val="IndexLink"/>
                <w:lang w:val="en-CA" w:eastAsia="en-CA"/>
              </w:rPr>
              <w:t>Current Environment Diagram</w:t>
              <w:tab/>
              <w:t>10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4">
            <w:r>
              <w:rPr>
                <w:rStyle w:val="IndexLink"/>
                <w:szCs w:val="28"/>
                <w:lang w:val="en-CA" w:eastAsia="en-CA"/>
              </w:rPr>
              <w:t>IV.  Proposed Business Environment</w:t>
            </w:r>
            <w:r>
              <w:rPr>
                <w:rStyle w:val="IndexLink"/>
                <w:lang w:val="en-CA" w:eastAsia="en-CA"/>
              </w:rPr>
              <w:tab/>
              <w:t>11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5">
            <w:r>
              <w:rPr>
                <w:rStyle w:val="IndexLink"/>
                <w:lang w:val="en-CA" w:eastAsia="en-CA"/>
              </w:rPr>
              <w:t>Proposed Environment Diagram</w:t>
              <w:tab/>
              <w:t>12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6">
            <w:r>
              <w:rPr>
                <w:rStyle w:val="IndexLink"/>
                <w:szCs w:val="28"/>
                <w:lang w:val="en-CA" w:eastAsia="en-CA"/>
              </w:rPr>
              <w:t>V.  Project Scope</w:t>
            </w:r>
            <w:r>
              <w:rPr>
                <w:rStyle w:val="IndexLink"/>
                <w:lang w:val="en-CA" w:eastAsia="en-CA"/>
              </w:rPr>
              <w:tab/>
              <w:t>13</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7">
            <w:r>
              <w:rPr>
                <w:rStyle w:val="IndexLink"/>
                <w:lang w:val="en-CA" w:eastAsia="en-CA"/>
              </w:rPr>
              <w:t>In Scope</w:t>
              <w:tab/>
              <w:t>13</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08">
            <w:r>
              <w:rPr>
                <w:rStyle w:val="IndexLink"/>
                <w:lang w:val="en-CA" w:eastAsia="en-CA"/>
              </w:rPr>
              <w:t>Not In Scope</w:t>
              <w:tab/>
              <w:t>14</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09">
            <w:r>
              <w:rPr>
                <w:rStyle w:val="IndexLink"/>
                <w:szCs w:val="28"/>
                <w:lang w:val="en-CA" w:eastAsia="en-CA"/>
              </w:rPr>
              <w:t>VI.  Benefits</w:t>
            </w:r>
            <w:r>
              <w:rPr>
                <w:rStyle w:val="IndexLink"/>
                <w:lang w:val="en-CA" w:eastAsia="en-CA"/>
              </w:rPr>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0">
            <w:r>
              <w:rPr>
                <w:rStyle w:val="IndexLink"/>
                <w:lang w:val="en-CA" w:eastAsia="en-CA"/>
              </w:rPr>
              <w:t>Business  Benefits</w:t>
              <w:tab/>
              <w:t>15</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1">
            <w:r>
              <w:rPr>
                <w:rStyle w:val="IndexLink"/>
                <w:lang w:val="en-CA" w:eastAsia="en-CA"/>
              </w:rPr>
              <w:t>Technical Benefits</w:t>
              <w:tab/>
              <w:t>15</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2">
            <w:r>
              <w:rPr>
                <w:rStyle w:val="IndexLink"/>
                <w:szCs w:val="28"/>
                <w:lang w:val="en-CA" w:eastAsia="en-CA"/>
              </w:rPr>
              <w:t>VII. Risks</w:t>
            </w:r>
            <w:r>
              <w:rPr>
                <w:rStyle w:val="IndexLink"/>
                <w:lang w:val="en-CA" w:eastAsia="en-CA"/>
              </w:rPr>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3">
            <w:r>
              <w:rPr>
                <w:rStyle w:val="IndexLink"/>
                <w:lang w:val="en-CA" w:eastAsia="en-CA"/>
              </w:rPr>
              <w:t>Requirements Risks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4">
            <w:r>
              <w:rPr>
                <w:rStyle w:val="IndexLink"/>
                <w:lang w:val="en-CA" w:eastAsia="en-CA"/>
              </w:rPr>
              <w:t>Interface Risks</w:t>
              <w:tab/>
              <w:t>16</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5">
            <w:r>
              <w:rPr>
                <w:rStyle w:val="IndexLink"/>
                <w:lang w:val="en-CA" w:eastAsia="en-CA"/>
              </w:rPr>
              <w:t>Technical Risks</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6">
            <w:r>
              <w:rPr>
                <w:rStyle w:val="IndexLink"/>
                <w:lang w:val="en-CA" w:eastAsia="en-CA"/>
              </w:rPr>
              <w:t>Personnel Risks</w:t>
              <w:tab/>
              <w:t>17</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17">
            <w:r>
              <w:rPr>
                <w:rStyle w:val="IndexLink"/>
                <w:lang w:val="en-CA" w:eastAsia="en-CA"/>
              </w:rPr>
              <w:t>Schedule Risks</w:t>
              <w:tab/>
              <w:t>17</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8">
            <w:r>
              <w:rPr>
                <w:rStyle w:val="IndexLink"/>
                <w:szCs w:val="28"/>
                <w:lang w:val="en-CA" w:eastAsia="en-CA"/>
              </w:rPr>
              <w:t>VIII.  Assumptions</w:t>
            </w:r>
            <w:r>
              <w:rPr>
                <w:rStyle w:val="IndexLink"/>
                <w:lang w:val="en-CA" w:eastAsia="en-CA"/>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19">
            <w:r>
              <w:rPr>
                <w:rStyle w:val="IndexLink"/>
                <w:szCs w:val="28"/>
                <w:lang w:val="en-CA" w:eastAsia="en-CA"/>
              </w:rPr>
              <w:t>IX. Constraints</w:t>
            </w:r>
            <w:r>
              <w:rPr>
                <w:rStyle w:val="IndexLink"/>
                <w:lang w:val="en-CA" w:eastAsia="en-CA"/>
              </w:rPr>
              <w:tab/>
              <w:t>18</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0">
            <w:r>
              <w:rPr>
                <w:rStyle w:val="IndexLink"/>
                <w:szCs w:val="28"/>
                <w:lang w:val="en-CA" w:eastAsia="en-CA"/>
              </w:rPr>
              <w:t>X.  Alternatives Considered</w:t>
            </w:r>
            <w:r>
              <w:rPr>
                <w:rStyle w:val="IndexLink"/>
                <w:lang w:val="en-CA" w:eastAsia="en-CA"/>
              </w:rPr>
              <w:tab/>
              <w:t>19</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1">
            <w:r>
              <w:rPr>
                <w:rStyle w:val="IndexLink"/>
                <w:szCs w:val="28"/>
                <w:lang w:val="en-CA" w:eastAsia="en-CA"/>
              </w:rPr>
              <w:t>XI.  Project Structure</w:t>
            </w:r>
            <w:r>
              <w:rPr>
                <w:rStyle w:val="IndexLink"/>
                <w:lang w:val="en-CA" w:eastAsia="en-CA"/>
              </w:rPr>
              <w:tab/>
              <w:t>20</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2">
            <w:r>
              <w:rPr>
                <w:rStyle w:val="IndexLink"/>
                <w:szCs w:val="28"/>
                <w:lang w:val="en-CA" w:eastAsia="en-CA"/>
              </w:rPr>
              <w:t>XII.  Resources / Timeline</w:t>
            </w:r>
            <w:r>
              <w:rPr>
                <w:rStyle w:val="IndexLink"/>
                <w:lang w:val="en-CA" w:eastAsia="en-CA"/>
              </w:rPr>
              <w:tab/>
              <w:t>21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3">
            <w:r>
              <w:rPr>
                <w:rStyle w:val="IndexLink"/>
                <w:lang w:val="en-CA" w:eastAsia="en-CA"/>
              </w:rPr>
              <w:t>Resources</w:t>
              <w:tab/>
              <w:t>21</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4">
            <w:r>
              <w:rPr>
                <w:rStyle w:val="IndexLink"/>
                <w:lang w:val="en-CA" w:eastAsia="en-CA"/>
              </w:rPr>
              <w:t>Estimated Timeline</w:t>
              <w:tab/>
              <w:t>21</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5">
            <w:r>
              <w:rPr>
                <w:rStyle w:val="IndexLink"/>
                <w:szCs w:val="28"/>
                <w:lang w:val="en-CA" w:eastAsia="en-CA"/>
              </w:rPr>
              <w:t>XIII.  Project Definition Number Request Form</w:t>
            </w:r>
            <w:r>
              <w:rPr>
                <w:rStyle w:val="IndexLink"/>
                <w:lang w:val="en-CA" w:eastAsia="en-CA"/>
              </w:rPr>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6">
            <w:r>
              <w:rPr>
                <w:rStyle w:val="IndexLink"/>
                <w:lang w:val="en-CA" w:eastAsia="en-CA"/>
              </w:rPr>
              <w:t>Project Information</w:t>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7">
            <w:r>
              <w:rPr>
                <w:rStyle w:val="IndexLink"/>
                <w:lang w:val="en-CA" w:eastAsia="en-CA"/>
              </w:rPr>
              <w:t>Estimated Costs</w:t>
              <w:tab/>
              <w:t>22</w:t>
            </w:r>
          </w:hyperlink>
        </w:p>
        <w:p>
          <w:pPr>
            <w:pStyle w:val="TOC2"/>
            <w:tabs>
              <w:tab w:val="clear" w:pos="720"/>
              <w:tab w:val="right" w:pos="10214" w:leader="dot"/>
            </w:tabs>
            <w:rPr>
              <w:rFonts w:ascii="Times New Roman" w:hAnsi="Times New Roman" w:cs="Times New Roman"/>
              <w:caps w:val="false"/>
              <w:smallCaps w:val="false"/>
              <w:sz w:val="24"/>
              <w:lang w:val="en-CA" w:eastAsia="en-CA"/>
            </w:rPr>
          </w:pPr>
          <w:hyperlink w:anchor="__RefHeading___Toc526138728">
            <w:r>
              <w:rPr>
                <w:rStyle w:val="IndexLink"/>
                <w:lang w:val="en-CA" w:eastAsia="en-CA"/>
              </w:rPr>
              <w:t>WBS Components Needed</w:t>
              <w:tab/>
              <w:t>22</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29">
            <w:r>
              <w:rPr>
                <w:rStyle w:val="IndexLink"/>
                <w:szCs w:val="28"/>
                <w:lang w:val="en-CA" w:eastAsia="en-CA"/>
              </w:rPr>
              <w:t>XIV.  Approval &amp; Sign-off</w:t>
            </w:r>
            <w:r>
              <w:rPr>
                <w:rStyle w:val="IndexLink"/>
                <w:lang w:val="en-CA" w:eastAsia="en-CA"/>
              </w:rPr>
              <w:tab/>
              <w:t>23</w:t>
            </w:r>
          </w:hyperlink>
        </w:p>
        <w:p>
          <w:pPr>
            <w:pStyle w:val="TOC1"/>
            <w:tabs>
              <w:tab w:val="clear" w:pos="720"/>
              <w:tab w:val="right" w:pos="10214" w:leader="dot"/>
            </w:tabs>
            <w:rPr>
              <w:rFonts w:ascii="Times New Roman" w:hAnsi="Times New Roman" w:cs="Times New Roman"/>
              <w:b w:val="false"/>
              <w:bCs w:val="false"/>
              <w:caps w:val="false"/>
              <w:smallCaps w:val="false"/>
              <w:color w:val="000000"/>
              <w:sz w:val="24"/>
              <w:lang w:val="en-CA" w:eastAsia="en-CA"/>
            </w:rPr>
          </w:pPr>
          <w:hyperlink w:anchor="__RefHeading___Toc526138730">
            <w:r>
              <w:rPr>
                <w:rStyle w:val="IndexLink"/>
                <w:szCs w:val="28"/>
                <w:lang w:val="en-CA" w:eastAsia="en-CA"/>
              </w:rPr>
              <w:t>XV.  Project Number Assignment</w:t>
            </w:r>
            <w:r>
              <w:rPr>
                <w:rStyle w:val="IndexLink"/>
                <w:lang w:val="en-CA" w:eastAsia="en-CA"/>
              </w:rPr>
              <w:tab/>
              <w:t>24</w:t>
            </w:r>
          </w:hyperlink>
          <w:r>
            <w:rPr>
              <w:rStyle w:val="IndexLink"/>
              <w:lang w:val="en-CA" w:eastAsia="en-CA"/>
            </w:rPr>
            <w:fldChar w:fldCharType="end"/>
          </w:r>
        </w:p>
      </w:sdtContent>
    </w:sdt>
    <w:p>
      <w:pPr>
        <w:pStyle w:val="TOC1"/>
        <w:tabs>
          <w:tab w:val="clear" w:pos="720"/>
          <w:tab w:val="left" w:pos="600" w:leader="none"/>
          <w:tab w:val="right" w:pos="10214" w:leader="dot"/>
        </w:tabs>
        <w:rPr>
          <w:rFonts w:ascii="Times New Roman" w:hAnsi="Times New Roman" w:cs="Times New Roman"/>
          <w:b w:val="false"/>
          <w:bCs w:val="false"/>
          <w:caps w:val="false"/>
          <w:smallCaps w:val="false"/>
          <w:color w:val="000000"/>
          <w:sz w:val="24"/>
          <w:lang w:val="en-CA" w:eastAsia="en-CA"/>
        </w:rPr>
      </w:pPr>
      <w:r>
        <w:rPr>
          <w:rFonts w:cs="Times New Roman" w:ascii="Times New Roman" w:hAnsi="Times New Roman"/>
          <w:b w:val="false"/>
          <w:bCs w:val="false"/>
          <w:caps w:val="false"/>
          <w:smallCaps w:val="false"/>
          <w:color w:val="000000"/>
          <w:sz w:val="24"/>
          <w:lang w:val="en-CA" w:eastAsia="en-CA"/>
        </w:rPr>
      </w:r>
      <w:r>
        <w:br w:type="page"/>
      </w:r>
    </w:p>
    <w:p>
      <w:pPr>
        <w:pStyle w:val="Heading1"/>
        <w:rPr/>
      </w:pPr>
      <w:bookmarkStart w:id="0" w:name="__RefHeading___Toc526138693"/>
      <w:r>
        <w:rPr/>
        <w:t>Revision History</w:t>
      </w:r>
      <w:bookmarkEnd w:id="0"/>
      <w:r>
        <w:rPr/>
        <w:tab/>
      </w:r>
    </w:p>
    <w:tbl>
      <w:tblPr>
        <w:tblW w:w="10440" w:type="dxa"/>
        <w:jc w:val="start"/>
        <w:tblInd w:w="0" w:type="dxa"/>
        <w:tblLayout w:type="fixed"/>
        <w:tblCellMar>
          <w:top w:w="0" w:type="dxa"/>
          <w:start w:w="115" w:type="dxa"/>
          <w:bottom w:w="0" w:type="dxa"/>
          <w:end w:w="115" w:type="dxa"/>
        </w:tblCellMar>
      </w:tblPr>
      <w:tblGrid>
        <w:gridCol w:w="1098"/>
        <w:gridCol w:w="2970"/>
        <w:gridCol w:w="1710"/>
        <w:gridCol w:w="4662"/>
      </w:tblGrid>
      <w:tr>
        <w:trPr/>
        <w:tc>
          <w:tcPr>
            <w:tcW w:w="1098"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Rev #</w:t>
            </w:r>
          </w:p>
        </w:tc>
        <w:tc>
          <w:tcPr>
            <w:tcW w:w="2970"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Name</w:t>
            </w:r>
          </w:p>
        </w:tc>
        <w:tc>
          <w:tcPr>
            <w:tcW w:w="1710"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Date</w:t>
            </w:r>
          </w:p>
        </w:tc>
        <w:tc>
          <w:tcPr>
            <w:tcW w:w="4662" w:type="dxa"/>
            <w:tcBorders/>
            <w:shd w:fill="99CCFF" w:val="clear"/>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Description of Changes</w:t>
            </w:r>
          </w:p>
        </w:tc>
      </w:tr>
      <w:tr>
        <w:trPr/>
        <w:tc>
          <w:tcPr>
            <w:tcW w:w="1098" w:type="dxa"/>
            <w:tcBorders>
              <w:bottom w:val="single" w:sz="4" w:space="0" w:color="808080"/>
            </w:tcBorders>
          </w:tcPr>
          <w:p>
            <w:pPr>
              <w:pStyle w:val="TextFront"/>
              <w:spacing w:before="60" w:after="60"/>
              <w:rPr/>
            </w:pPr>
            <w:r>
              <w:rPr/>
              <w:t>1.0</w:t>
            </w:r>
          </w:p>
        </w:tc>
        <w:tc>
          <w:tcPr>
            <w:tcW w:w="2970" w:type="dxa"/>
            <w:tcBorders>
              <w:bottom w:val="single" w:sz="4" w:space="0" w:color="808080"/>
            </w:tcBorders>
          </w:tcPr>
          <w:p>
            <w:pPr>
              <w:pStyle w:val="TextFront"/>
              <w:spacing w:before="60" w:after="60"/>
              <w:rPr/>
            </w:pPr>
            <w:r>
              <w:rPr/>
              <w:t>Thu Dang</w:t>
            </w:r>
          </w:p>
        </w:tc>
        <w:tc>
          <w:tcPr>
            <w:tcW w:w="1710" w:type="dxa"/>
            <w:tcBorders>
              <w:bottom w:val="single" w:sz="4" w:space="0" w:color="808080"/>
            </w:tcBorders>
          </w:tcPr>
          <w:p>
            <w:pPr>
              <w:pStyle w:val="TextFront"/>
              <w:spacing w:before="60" w:after="60"/>
              <w:rPr/>
            </w:pPr>
            <w:r>
              <w:rPr/>
              <w:t>9/26/01</w:t>
            </w:r>
          </w:p>
        </w:tc>
        <w:tc>
          <w:tcPr>
            <w:tcW w:w="4662" w:type="dxa"/>
            <w:tcBorders>
              <w:bottom w:val="single" w:sz="4" w:space="0" w:color="808080"/>
            </w:tcBorders>
          </w:tcPr>
          <w:p>
            <w:pPr>
              <w:pStyle w:val="TextFront"/>
              <w:spacing w:before="60" w:after="60"/>
              <w:rPr/>
            </w:pPr>
            <w:r>
              <w:rPr/>
              <w:t xml:space="preserve">Created </w:t>
            </w:r>
          </w:p>
        </w:tc>
      </w:tr>
      <w:tr>
        <w:trPr/>
        <w:tc>
          <w:tcPr>
            <w:tcW w:w="1098" w:type="dxa"/>
            <w:tcBorders>
              <w:bottom w:val="single" w:sz="4" w:space="0" w:color="808080"/>
            </w:tcBorders>
          </w:tcPr>
          <w:p>
            <w:pPr>
              <w:pStyle w:val="TextFront"/>
              <w:snapToGrid w:val="false"/>
              <w:spacing w:before="60" w:after="60"/>
              <w:rPr/>
            </w:pPr>
            <w:r>
              <w:rPr/>
            </w:r>
          </w:p>
        </w:tc>
        <w:tc>
          <w:tcPr>
            <w:tcW w:w="2970" w:type="dxa"/>
            <w:tcBorders>
              <w:bottom w:val="single" w:sz="4" w:space="0" w:color="808080"/>
            </w:tcBorders>
          </w:tcPr>
          <w:p>
            <w:pPr>
              <w:pStyle w:val="TextFront"/>
              <w:snapToGrid w:val="false"/>
              <w:spacing w:before="60" w:after="60"/>
              <w:rPr/>
            </w:pPr>
            <w:r>
              <w:rPr/>
            </w:r>
          </w:p>
        </w:tc>
        <w:tc>
          <w:tcPr>
            <w:tcW w:w="1710" w:type="dxa"/>
            <w:tcBorders>
              <w:bottom w:val="single" w:sz="4" w:space="0" w:color="808080"/>
            </w:tcBorders>
          </w:tcPr>
          <w:p>
            <w:pPr>
              <w:pStyle w:val="TextFront"/>
              <w:snapToGrid w:val="false"/>
              <w:spacing w:before="60" w:after="60"/>
              <w:rPr/>
            </w:pPr>
            <w:r>
              <w:rPr/>
            </w:r>
          </w:p>
        </w:tc>
        <w:tc>
          <w:tcPr>
            <w:tcW w:w="4662" w:type="dxa"/>
            <w:tcBorders>
              <w:bottom w:val="single" w:sz="4" w:space="0" w:color="808080"/>
            </w:tcBorders>
          </w:tcPr>
          <w:p>
            <w:pPr>
              <w:pStyle w:val="TextFront"/>
              <w:snapToGrid w:val="false"/>
              <w:spacing w:before="60" w:after="60"/>
              <w:rPr/>
            </w:pPr>
            <w:r>
              <w:rPr/>
            </w:r>
          </w:p>
        </w:tc>
      </w:tr>
      <w:tr>
        <w:trPr/>
        <w:tc>
          <w:tcPr>
            <w:tcW w:w="1098" w:type="dxa"/>
            <w:tcBorders>
              <w:top w:val="single" w:sz="4" w:space="0" w:color="808080"/>
              <w:bottom w:val="single" w:sz="4" w:space="0" w:color="808080"/>
            </w:tcBorders>
          </w:tcPr>
          <w:p>
            <w:pPr>
              <w:pStyle w:val="TextFront"/>
              <w:snapToGrid w:val="false"/>
              <w:spacing w:before="60" w:after="60"/>
              <w:rPr/>
            </w:pPr>
            <w:r>
              <w:rPr/>
            </w:r>
          </w:p>
        </w:tc>
        <w:tc>
          <w:tcPr>
            <w:tcW w:w="2970" w:type="dxa"/>
            <w:tcBorders>
              <w:top w:val="single" w:sz="4" w:space="0" w:color="808080"/>
              <w:bottom w:val="single" w:sz="4" w:space="0" w:color="808080"/>
            </w:tcBorders>
          </w:tcPr>
          <w:p>
            <w:pPr>
              <w:pStyle w:val="TextFront"/>
              <w:snapToGrid w:val="false"/>
              <w:spacing w:before="60" w:after="60"/>
              <w:rPr/>
            </w:pPr>
            <w:r>
              <w:rPr/>
            </w:r>
          </w:p>
        </w:tc>
        <w:tc>
          <w:tcPr>
            <w:tcW w:w="1710" w:type="dxa"/>
            <w:tcBorders>
              <w:top w:val="single" w:sz="4" w:space="0" w:color="808080"/>
              <w:bottom w:val="single" w:sz="4" w:space="0" w:color="808080"/>
            </w:tcBorders>
          </w:tcPr>
          <w:p>
            <w:pPr>
              <w:pStyle w:val="TextFront"/>
              <w:snapToGrid w:val="false"/>
              <w:spacing w:before="60" w:after="60"/>
              <w:rPr/>
            </w:pPr>
            <w:r>
              <w:rPr/>
            </w:r>
          </w:p>
        </w:tc>
        <w:tc>
          <w:tcPr>
            <w:tcW w:w="4662" w:type="dxa"/>
            <w:tcBorders>
              <w:top w:val="single" w:sz="4" w:space="0" w:color="808080"/>
              <w:bottom w:val="single" w:sz="4" w:space="0" w:color="808080"/>
            </w:tcBorders>
          </w:tcPr>
          <w:p>
            <w:pPr>
              <w:pStyle w:val="TextFront"/>
              <w:snapToGrid w:val="false"/>
              <w:spacing w:before="60" w:after="60"/>
              <w:rPr/>
            </w:pPr>
            <w:r>
              <w:rPr/>
            </w:r>
          </w:p>
        </w:tc>
      </w:tr>
      <w:tr>
        <w:trPr/>
        <w:tc>
          <w:tcPr>
            <w:tcW w:w="1098" w:type="dxa"/>
            <w:tcBorders>
              <w:top w:val="single" w:sz="4" w:space="0" w:color="808080"/>
              <w:bottom w:val="single" w:sz="4" w:space="0" w:color="808080"/>
            </w:tcBorders>
          </w:tcPr>
          <w:p>
            <w:pPr>
              <w:pStyle w:val="TextFront"/>
              <w:snapToGrid w:val="false"/>
              <w:spacing w:before="60" w:after="60"/>
              <w:rPr/>
            </w:pPr>
            <w:r>
              <w:rPr/>
            </w:r>
          </w:p>
        </w:tc>
        <w:tc>
          <w:tcPr>
            <w:tcW w:w="2970" w:type="dxa"/>
            <w:tcBorders>
              <w:top w:val="single" w:sz="4" w:space="0" w:color="808080"/>
              <w:bottom w:val="single" w:sz="4" w:space="0" w:color="808080"/>
            </w:tcBorders>
          </w:tcPr>
          <w:p>
            <w:pPr>
              <w:pStyle w:val="TextFront"/>
              <w:snapToGrid w:val="false"/>
              <w:spacing w:before="60" w:after="60"/>
              <w:rPr/>
            </w:pPr>
            <w:r>
              <w:rPr/>
            </w:r>
          </w:p>
        </w:tc>
        <w:tc>
          <w:tcPr>
            <w:tcW w:w="1710" w:type="dxa"/>
            <w:tcBorders>
              <w:top w:val="single" w:sz="4" w:space="0" w:color="808080"/>
              <w:bottom w:val="single" w:sz="4" w:space="0" w:color="808080"/>
            </w:tcBorders>
          </w:tcPr>
          <w:p>
            <w:pPr>
              <w:pStyle w:val="TextFront"/>
              <w:snapToGrid w:val="false"/>
              <w:spacing w:before="60" w:after="60"/>
              <w:rPr/>
            </w:pPr>
            <w:r>
              <w:rPr/>
            </w:r>
          </w:p>
        </w:tc>
        <w:tc>
          <w:tcPr>
            <w:tcW w:w="4662" w:type="dxa"/>
            <w:tcBorders>
              <w:top w:val="single" w:sz="4" w:space="0" w:color="808080"/>
              <w:bottom w:val="single" w:sz="4" w:space="0" w:color="808080"/>
            </w:tcBorders>
          </w:tcPr>
          <w:p>
            <w:pPr>
              <w:pStyle w:val="TextFront"/>
              <w:snapToGrid w:val="false"/>
              <w:spacing w:before="60" w:after="60"/>
              <w:rPr/>
            </w:pPr>
            <w:r>
              <w:rPr/>
            </w:r>
          </w:p>
        </w:tc>
      </w:tr>
    </w:tbl>
    <w:p>
      <w:pPr>
        <w:pStyle w:val="Heading2"/>
        <w:ind w:hanging="0" w:start="0"/>
        <w:rPr/>
      </w:pPr>
      <w:r>
        <w:rPr/>
      </w:r>
    </w:p>
    <w:p>
      <w:pPr>
        <w:pStyle w:val="Heading2"/>
        <w:ind w:hanging="0" w:start="0"/>
        <w:rPr/>
      </w:pPr>
      <w:bookmarkStart w:id="1" w:name="__RefHeading___Toc526138694"/>
      <w:r>
        <w:rPr/>
        <w:t>Document Inputs</w:t>
      </w:r>
      <w:bookmarkEnd w:id="1"/>
      <w:r>
        <w:rPr/>
        <w:t xml:space="preserve"> </w:t>
      </w:r>
    </w:p>
    <w:p>
      <w:pPr>
        <w:pStyle w:val="Normal"/>
        <w:rPr/>
      </w:pPr>
      <w:r>
        <w:rPr/>
      </w:r>
    </w:p>
    <w:tbl>
      <w:tblPr>
        <w:tblW w:w="7938" w:type="dxa"/>
        <w:jc w:val="start"/>
        <w:tblInd w:w="0" w:type="dxa"/>
        <w:tblLayout w:type="fixed"/>
        <w:tblCellMar>
          <w:top w:w="0" w:type="dxa"/>
          <w:start w:w="108" w:type="dxa"/>
          <w:bottom w:w="0" w:type="dxa"/>
          <w:end w:w="108" w:type="dxa"/>
        </w:tblCellMar>
      </w:tblPr>
      <w:tblGrid>
        <w:gridCol w:w="3888"/>
        <w:gridCol w:w="4050"/>
      </w:tblGrid>
      <w:tr>
        <w:trPr/>
        <w:tc>
          <w:tcPr>
            <w:tcW w:w="3888" w:type="dxa"/>
            <w:tcBorders>
              <w:top w:val="single" w:sz="4" w:space="0" w:color="000000"/>
              <w:start w:val="single" w:sz="4" w:space="0" w:color="000000"/>
              <w:bottom w:val="single" w:sz="4" w:space="0" w:color="000000"/>
              <w:end w:val="single" w:sz="4" w:space="0" w:color="000000"/>
            </w:tcBorders>
            <w:shd w:fill="99CCFF" w:val="clear"/>
          </w:tcPr>
          <w:p>
            <w:pPr>
              <w:pStyle w:val="Normal"/>
              <w:widowControl/>
              <w:bidi w:val="0"/>
              <w:spacing w:before="60" w:after="60"/>
              <w:rPr/>
            </w:pPr>
            <w:r>
              <w:rPr/>
              <w:t>Names</w:t>
            </w:r>
          </w:p>
        </w:tc>
        <w:tc>
          <w:tcPr>
            <w:tcW w:w="4050" w:type="dxa"/>
            <w:tcBorders>
              <w:top w:val="single" w:sz="4" w:space="0" w:color="000000"/>
              <w:start w:val="single" w:sz="4" w:space="0" w:color="000000"/>
              <w:bottom w:val="single" w:sz="4" w:space="0" w:color="000000"/>
              <w:end w:val="single" w:sz="4" w:space="0" w:color="000000"/>
            </w:tcBorders>
            <w:shd w:fill="99CCFF" w:val="clear"/>
          </w:tcPr>
          <w:p>
            <w:pPr>
              <w:pStyle w:val="Normal"/>
              <w:widowControl/>
              <w:bidi w:val="0"/>
              <w:spacing w:before="60" w:after="60"/>
              <w:rPr/>
            </w:pPr>
            <w:r>
              <w:rPr/>
              <w:t>Business Areas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Zhiyong Wei, Sr. Director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Systems</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Jeremy Wong,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Valuation</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Sean Yang, Technical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Valuation</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Jay Krish, Manager</w:t>
            </w:r>
          </w:p>
        </w:tc>
        <w:tc>
          <w:tcPr>
            <w:tcW w:w="4050" w:type="dxa"/>
            <w:tcBorders>
              <w:top w:val="single" w:sz="4" w:space="0" w:color="000000"/>
              <w:start w:val="single" w:sz="4" w:space="0" w:color="000000"/>
              <w:bottom w:val="single" w:sz="4" w:space="0" w:color="000000"/>
              <w:end w:val="single" w:sz="4" w:space="0" w:color="000000"/>
            </w:tcBorders>
          </w:tcPr>
          <w:p>
            <w:pPr>
              <w:pStyle w:val="Normal"/>
              <w:widowControl/>
              <w:bidi w:val="0"/>
              <w:spacing w:before="60" w:after="60"/>
              <w:rPr/>
            </w:pPr>
            <w:r>
              <w:rPr/>
              <w:t>Gas Strategic</w:t>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r>
        <w:trPr/>
        <w:tc>
          <w:tcPr>
            <w:tcW w:w="3888"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c>
          <w:tcPr>
            <w:tcW w:w="4050"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pPr>
            <w:r>
              <w:rPr/>
            </w:r>
          </w:p>
        </w:tc>
      </w:tr>
    </w:tbl>
    <w:p>
      <w:pPr>
        <w:pStyle w:val="Normal"/>
        <w:rPr/>
      </w:pPr>
      <w:r>
        <w:rPr/>
      </w:r>
      <w:r>
        <w:br w:type="page"/>
      </w:r>
    </w:p>
    <w:p>
      <w:pPr>
        <w:pStyle w:val="Heading1"/>
        <w:rPr/>
      </w:pPr>
      <w:bookmarkStart w:id="2" w:name="__RefHeading___Toc526138695"/>
      <w:bookmarkEnd w:id="2"/>
      <w:r>
        <w:rPr/>
        <w:t>I.  Introduction</w:t>
      </w:r>
    </w:p>
    <w:p>
      <w:pPr>
        <w:pStyle w:val="Normal"/>
        <w:rPr>
          <w:rFonts w:eastAsia="Arial Unicode MS"/>
        </w:rPr>
      </w:pPr>
      <w:r>
        <w:rPr>
          <w:rFonts w:eastAsia="Arial Unicode MS"/>
        </w:rPr>
      </w:r>
    </w:p>
    <w:p>
      <w:pPr>
        <w:pStyle w:val="Heading2"/>
        <w:ind w:hanging="0" w:start="0"/>
        <w:rPr/>
      </w:pPr>
      <w:bookmarkStart w:id="3" w:name="__RefHeading___Toc526138696"/>
      <w:bookmarkEnd w:id="3"/>
      <w:r>
        <w:rPr/>
        <w:t>Document Purpose</w:t>
      </w:r>
    </w:p>
    <w:p>
      <w:pPr>
        <w:pStyle w:val="Normal"/>
        <w:rPr/>
      </w:pPr>
      <w:r>
        <w:rPr/>
        <w:t xml:space="preserve">The purpose of this Statement of Work document is to provide a common understanding of the project vision, scope and estimated costs associated with the Consolidated Gas System efforts to the prospective Business Sponsor and the development team before the beginning of all development efforts.  </w:t>
      </w:r>
    </w:p>
    <w:p>
      <w:pPr>
        <w:pStyle w:val="Normal"/>
        <w:rPr/>
      </w:pPr>
      <w:r>
        <w:rPr/>
      </w:r>
    </w:p>
    <w:p>
      <w:pPr>
        <w:pStyle w:val="Heading2"/>
        <w:ind w:hanging="0" w:start="0"/>
        <w:rPr/>
      </w:pPr>
      <w:bookmarkStart w:id="4" w:name="__RefHeading___Toc526138697"/>
      <w:bookmarkEnd w:id="4"/>
      <w:r>
        <w:rPr/>
        <w:t>Document Scope</w:t>
      </w:r>
    </w:p>
    <w:p>
      <w:pPr>
        <w:pStyle w:val="Normal"/>
        <w:rPr/>
      </w:pPr>
      <w:r>
        <w:rPr/>
        <w:t xml:space="preserve">The scope of this document includes a description of the current business environment, proposed business environment, and the scope of the project to get the gas business from the current process to the proposed one.  Associated benefits, risks, assumptions, constraints, estimated costs are also included. </w:t>
      </w:r>
    </w:p>
    <w:p>
      <w:pPr>
        <w:pStyle w:val="Normal"/>
        <w:rPr/>
      </w:pPr>
      <w:r>
        <w:rPr/>
      </w:r>
    </w:p>
    <w:p>
      <w:pPr>
        <w:pStyle w:val="Normal"/>
        <w:rPr/>
      </w:pPr>
      <w:r>
        <w:rPr/>
        <w:t>As the team is forming and settling in, additional information will be updated on an on-going basis during our regular team discussions. Separate requirements list, and other documents deemed necessary will be developed during this inception phase of the project in conjunction with the Statement of Work.</w:t>
      </w:r>
    </w:p>
    <w:p>
      <w:pPr>
        <w:pStyle w:val="Normal"/>
        <w:rPr/>
      </w:pPr>
      <w:r>
        <w:rPr/>
      </w:r>
    </w:p>
    <w:p>
      <w:pPr>
        <w:pStyle w:val="Heading2"/>
        <w:ind w:hanging="0" w:start="0"/>
        <w:rPr/>
      </w:pPr>
      <w:bookmarkStart w:id="5" w:name="__RefHeading___Toc526138698"/>
      <w:bookmarkEnd w:id="5"/>
      <w:r>
        <w:rPr/>
        <w:t>Stakeholders</w:t>
      </w:r>
    </w:p>
    <w:tbl>
      <w:tblPr>
        <w:tblW w:w="10440" w:type="dxa"/>
        <w:jc w:val="start"/>
        <w:tblInd w:w="0" w:type="dxa"/>
        <w:tblLayout w:type="fixed"/>
        <w:tblCellMar>
          <w:top w:w="0" w:type="dxa"/>
          <w:start w:w="108" w:type="dxa"/>
          <w:bottom w:w="0" w:type="dxa"/>
          <w:end w:w="108" w:type="dxa"/>
        </w:tblCellMar>
      </w:tblPr>
      <w:tblGrid>
        <w:gridCol w:w="3480"/>
        <w:gridCol w:w="3480"/>
        <w:gridCol w:w="3480"/>
      </w:tblGrid>
      <w:tr>
        <w:trPr/>
        <w:tc>
          <w:tcPr>
            <w:tcW w:w="3480" w:type="dxa"/>
            <w:tcBorders>
              <w:bottom w:val="single" w:sz="4" w:space="0" w:color="808080"/>
            </w:tcBorders>
          </w:tcPr>
          <w:p>
            <w:pPr>
              <w:pStyle w:val="Normal"/>
              <w:snapToGrid w:val="false"/>
              <w:spacing w:before="60" w:after="60"/>
              <w:rPr/>
            </w:pPr>
            <w:r>
              <w:rPr/>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Name</w:t>
            </w:r>
          </w:p>
        </w:tc>
        <w:tc>
          <w:tcPr>
            <w:tcW w:w="3480"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Title</w:t>
            </w:r>
          </w:p>
        </w:tc>
      </w:tr>
      <w:tr>
        <w:trPr/>
        <w:tc>
          <w:tcPr>
            <w:tcW w:w="3480" w:type="dxa"/>
            <w:tcBorders>
              <w:top w:val="single" w:sz="4" w:space="0" w:color="808080"/>
            </w:tcBorders>
          </w:tcPr>
          <w:p>
            <w:pPr>
              <w:pStyle w:val="TextFront"/>
              <w:spacing w:before="60" w:after="60"/>
              <w:rPr/>
            </w:pPr>
            <w:r>
              <w:rPr/>
              <w:t>Business</w:t>
            </w:r>
          </w:p>
        </w:tc>
        <w:tc>
          <w:tcPr>
            <w:tcW w:w="3480" w:type="dxa"/>
            <w:tcBorders>
              <w:bottom w:val="single" w:sz="4" w:space="0" w:color="808080"/>
            </w:tcBorders>
          </w:tcPr>
          <w:p>
            <w:pPr>
              <w:pStyle w:val="TextFront"/>
              <w:snapToGrid w:val="false"/>
              <w:spacing w:before="60" w:after="60"/>
              <w:rPr/>
            </w:pPr>
            <w:r>
              <w:rPr/>
            </w:r>
          </w:p>
        </w:tc>
        <w:tc>
          <w:tcPr>
            <w:tcW w:w="3480" w:type="dxa"/>
            <w:tcBorders>
              <w:bottom w:val="single" w:sz="4" w:space="0" w:color="808080"/>
            </w:tcBorders>
          </w:tcPr>
          <w:p>
            <w:pPr>
              <w:pStyle w:val="TextFront"/>
              <w:snapToGrid w:val="false"/>
              <w:spacing w:before="60" w:after="60"/>
              <w:rPr/>
            </w:pPr>
            <w:r>
              <w:rPr/>
            </w:r>
          </w:p>
        </w:tc>
      </w:tr>
      <w:tr>
        <w:trPr/>
        <w:tc>
          <w:tcPr>
            <w:tcW w:w="3480" w:type="dxa"/>
            <w:tcBorders/>
          </w:tcPr>
          <w:p>
            <w:pPr>
              <w:pStyle w:val="TextFront"/>
              <w:spacing w:before="60" w:after="60"/>
              <w:rPr/>
            </w:pPr>
            <w:r>
              <w:rPr>
                <w:rFonts w:eastAsia="Frutiger 55 Roman"/>
              </w:rPr>
              <w:t xml:space="preserve">     </w:t>
            </w:r>
            <w:r>
              <w:rPr/>
              <w:t>Business Sponsor</w:t>
            </w:r>
          </w:p>
        </w:tc>
        <w:tc>
          <w:tcPr>
            <w:tcW w:w="3480" w:type="dxa"/>
            <w:tcBorders>
              <w:bottom w:val="single" w:sz="4" w:space="0" w:color="808080"/>
            </w:tcBorders>
          </w:tcPr>
          <w:p>
            <w:pPr>
              <w:pStyle w:val="TextFront"/>
              <w:spacing w:before="60" w:after="60"/>
              <w:rPr/>
            </w:pPr>
            <w:r>
              <w:rPr/>
              <w:t>Louise Kitchen</w:t>
            </w:r>
          </w:p>
        </w:tc>
        <w:tc>
          <w:tcPr>
            <w:tcW w:w="3480" w:type="dxa"/>
            <w:tcBorders>
              <w:bottom w:val="single" w:sz="4" w:space="0" w:color="808080"/>
            </w:tcBorders>
          </w:tcPr>
          <w:p>
            <w:pPr>
              <w:pStyle w:val="TextFront"/>
              <w:spacing w:before="60" w:after="60"/>
              <w:rPr/>
            </w:pPr>
            <w:r>
              <w:rPr/>
              <w:t>Chief Operating Officer, ENA</w:t>
            </w:r>
          </w:p>
        </w:tc>
      </w:tr>
      <w:tr>
        <w:trPr/>
        <w:tc>
          <w:tcPr>
            <w:tcW w:w="3480" w:type="dxa"/>
            <w:tcBorders>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pacing w:before="60" w:after="60"/>
              <w:rPr/>
            </w:pPr>
            <w:r>
              <w:rPr/>
              <w:t>Geoffrey Storey</w:t>
            </w:r>
          </w:p>
        </w:tc>
        <w:tc>
          <w:tcPr>
            <w:tcW w:w="3480" w:type="dxa"/>
            <w:tcBorders>
              <w:top w:val="single" w:sz="4" w:space="0" w:color="808080"/>
              <w:bottom w:val="single" w:sz="4" w:space="0" w:color="808080"/>
            </w:tcBorders>
          </w:tcPr>
          <w:p>
            <w:pPr>
              <w:pStyle w:val="TextFront"/>
              <w:spacing w:before="60" w:after="60"/>
              <w:rPr/>
            </w:pPr>
            <w:r>
              <w:rPr/>
              <w:t>Director – Trading, ENA</w:t>
            </w:r>
          </w:p>
        </w:tc>
      </w:tr>
      <w:tr>
        <w:trPr/>
        <w:tc>
          <w:tcPr>
            <w:tcW w:w="3480" w:type="dxa"/>
            <w:tcBorders>
              <w:top w:val="single" w:sz="4" w:space="0" w:color="808080"/>
            </w:tcBorders>
          </w:tcPr>
          <w:p>
            <w:pPr>
              <w:pStyle w:val="TextFront"/>
              <w:spacing w:before="60" w:after="60"/>
              <w:rPr/>
            </w:pPr>
            <w:r>
              <w:rPr/>
              <w:t>IT</w:t>
            </w:r>
          </w:p>
        </w:tc>
        <w:tc>
          <w:tcPr>
            <w:tcW w:w="3480" w:type="dxa"/>
            <w:tcBorders>
              <w:top w:val="single" w:sz="4" w:space="0" w:color="808080"/>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napToGrid w:val="false"/>
              <w:spacing w:before="60" w:after="60"/>
              <w:rPr/>
            </w:pPr>
            <w:r>
              <w:rPr/>
            </w:r>
          </w:p>
        </w:tc>
      </w:tr>
      <w:tr>
        <w:trPr/>
        <w:tc>
          <w:tcPr>
            <w:tcW w:w="3480" w:type="dxa"/>
            <w:tcBorders/>
          </w:tcPr>
          <w:p>
            <w:pPr>
              <w:pStyle w:val="TextFront"/>
              <w:spacing w:before="60" w:after="60"/>
              <w:rPr/>
            </w:pPr>
            <w:r>
              <w:rPr>
                <w:rFonts w:eastAsia="Frutiger 55 Roman"/>
              </w:rPr>
              <w:t xml:space="preserve">     </w:t>
            </w:r>
            <w:r>
              <w:rPr/>
              <w:t>IT Sponsor</w:t>
            </w:r>
          </w:p>
        </w:tc>
        <w:tc>
          <w:tcPr>
            <w:tcW w:w="3480" w:type="dxa"/>
            <w:tcBorders>
              <w:top w:val="single" w:sz="4" w:space="0" w:color="808080"/>
              <w:bottom w:val="single" w:sz="4" w:space="0" w:color="808080"/>
            </w:tcBorders>
          </w:tcPr>
          <w:p>
            <w:pPr>
              <w:pStyle w:val="TextFront"/>
              <w:spacing w:before="60" w:after="60"/>
              <w:rPr/>
            </w:pPr>
            <w:r>
              <w:rPr/>
              <w:t>Stephen Stock</w:t>
            </w:r>
          </w:p>
        </w:tc>
        <w:tc>
          <w:tcPr>
            <w:tcW w:w="3480" w:type="dxa"/>
            <w:tcBorders>
              <w:top w:val="single" w:sz="4" w:space="0" w:color="808080"/>
              <w:bottom w:val="single" w:sz="4" w:space="0" w:color="808080"/>
            </w:tcBorders>
          </w:tcPr>
          <w:p>
            <w:pPr>
              <w:pStyle w:val="TextFront"/>
              <w:spacing w:before="60" w:after="60"/>
              <w:rPr/>
            </w:pPr>
            <w:r>
              <w:rPr/>
              <w:t xml:space="preserve">Sr. Director, ENW </w:t>
            </w:r>
          </w:p>
        </w:tc>
      </w:tr>
      <w:tr>
        <w:trPr/>
        <w:tc>
          <w:tcPr>
            <w:tcW w:w="3480" w:type="dxa"/>
            <w:tcBorders>
              <w:bottom w:val="single" w:sz="4" w:space="0" w:color="808080"/>
            </w:tcBorders>
          </w:tcPr>
          <w:p>
            <w:pPr>
              <w:pStyle w:val="TextFront"/>
              <w:snapToGrid w:val="false"/>
              <w:spacing w:before="60" w:after="60"/>
              <w:rPr/>
            </w:pPr>
            <w:r>
              <w:rPr/>
            </w:r>
          </w:p>
        </w:tc>
        <w:tc>
          <w:tcPr>
            <w:tcW w:w="3480" w:type="dxa"/>
            <w:tcBorders>
              <w:top w:val="single" w:sz="4" w:space="0" w:color="808080"/>
              <w:bottom w:val="single" w:sz="4" w:space="0" w:color="808080"/>
            </w:tcBorders>
          </w:tcPr>
          <w:p>
            <w:pPr>
              <w:pStyle w:val="TextFront"/>
              <w:spacing w:before="60" w:after="60"/>
              <w:rPr/>
            </w:pPr>
            <w:r>
              <w:rPr/>
              <w:t>Zhiyong Wei</w:t>
            </w:r>
          </w:p>
        </w:tc>
        <w:tc>
          <w:tcPr>
            <w:tcW w:w="3480" w:type="dxa"/>
            <w:tcBorders>
              <w:top w:val="single" w:sz="4" w:space="0" w:color="808080"/>
              <w:bottom w:val="single" w:sz="4" w:space="0" w:color="808080"/>
            </w:tcBorders>
          </w:tcPr>
          <w:p>
            <w:pPr>
              <w:pStyle w:val="TextFront"/>
              <w:spacing w:before="60" w:after="60"/>
              <w:rPr/>
            </w:pPr>
            <w:r>
              <w:rPr/>
              <w:t>Sr. Director, Gas Systems, ENW</w:t>
            </w:r>
          </w:p>
        </w:tc>
      </w:tr>
    </w:tbl>
    <w:p>
      <w:pPr>
        <w:pStyle w:val="Normal"/>
        <w:rPr/>
      </w:pPr>
      <w:r>
        <w:rPr/>
      </w:r>
      <w:r>
        <w:br w:type="page"/>
      </w:r>
    </w:p>
    <w:p>
      <w:pPr>
        <w:pStyle w:val="Heading1"/>
        <w:rPr/>
      </w:pPr>
      <w:bookmarkStart w:id="6" w:name="__RefHeading___Toc526138699"/>
      <w:bookmarkEnd w:id="6"/>
      <w:r>
        <w:rPr/>
        <w:t>II.  Executive Summary</w:t>
      </w:r>
    </w:p>
    <w:p>
      <w:pPr>
        <w:pStyle w:val="Normal"/>
        <w:rPr/>
      </w:pPr>
      <w:r>
        <w:rPr/>
      </w:r>
    </w:p>
    <w:p>
      <w:pPr>
        <w:pStyle w:val="Normal"/>
        <w:rPr/>
      </w:pPr>
      <w:r>
        <w:rPr/>
        <w:t xml:space="preserve">The CGS project, which stands for Consolidated Gas System, is intended to re-address the current gas deal capture and valuation systems due to new business requirements, to retire redundant legacy applications in the current gas functionalities, and to re-factor the current technical architecture.  This effort will address the immediate needs of the business community, and provide long-term benefits to the users as well as the development and support organization.  </w:t>
      </w:r>
    </w:p>
    <w:p>
      <w:pPr>
        <w:pStyle w:val="Normal"/>
        <w:rPr/>
      </w:pPr>
      <w:r>
        <w:rPr/>
      </w:r>
    </w:p>
    <w:p>
      <w:pPr>
        <w:pStyle w:val="Normal"/>
        <w:numPr>
          <w:ilvl w:val="0"/>
          <w:numId w:val="8"/>
        </w:numPr>
        <w:rPr/>
      </w:pPr>
      <w:r>
        <w:rPr/>
        <w:t xml:space="preserve">Currently there is a need to separate the physical gas deal capture from its financial counterpart deal hedging at the deal level. </w:t>
      </w:r>
    </w:p>
    <w:p>
      <w:pPr>
        <w:pStyle w:val="Normal"/>
        <w:numPr>
          <w:ilvl w:val="0"/>
          <w:numId w:val="8"/>
        </w:numPr>
        <w:rPr/>
      </w:pPr>
      <w:r>
        <w:rPr/>
        <w:t xml:space="preserve">There is also a need to eliminate manual dual entries in the deal capture system. While the financial hedging components of a physical deal in SITARA have to be reproduced into the TAGG formatted financial deal legs for financial deal valuation, in the physical side there are also many bridgings to be performed across systems such as from SITARA to CPR to ERMS in order to get physical deal valuation. </w:t>
      </w:r>
    </w:p>
    <w:p>
      <w:pPr>
        <w:pStyle w:val="Normal"/>
        <w:numPr>
          <w:ilvl w:val="0"/>
          <w:numId w:val="8"/>
        </w:numPr>
        <w:rPr/>
      </w:pPr>
      <w:r>
        <w:rPr/>
        <w:t>There is also a need to revamp deal valuation to become real-time with an immediate focus on physical gas valuation and a long-term expansion into financial gas. Currently there is gas valuation in many systems such as CPR with limited functionalities, TDS intra-day valuation and ERMS valuation. The new gas valuation will utilize the components of the Global Valuation Framework to provide one valuation system for all gas valuation needs.</w:t>
      </w:r>
    </w:p>
    <w:p>
      <w:pPr>
        <w:pStyle w:val="Normal"/>
        <w:numPr>
          <w:ilvl w:val="0"/>
          <w:numId w:val="8"/>
        </w:numPr>
        <w:rPr/>
      </w:pPr>
      <w:r>
        <w:rPr/>
        <w:t>There is also a need to re-address the old technology with the many languages currently in place, some of which are no longer mainstream technology and close to no longer be supported by vendors in the future. A mid-tier rewrite effort will bring the gas deal capture systems to the current mainstream technology.</w:t>
      </w:r>
    </w:p>
    <w:p>
      <w:pPr>
        <w:pStyle w:val="Normal"/>
        <w:numPr>
          <w:ilvl w:val="0"/>
          <w:numId w:val="8"/>
        </w:numPr>
        <w:rPr/>
      </w:pPr>
      <w:r>
        <w:rPr/>
        <w:t>There is also a need to redesign the current database schema which is based on the Character Large Objects (CLOBs) structure to a more normalized design easier to maintain and develop.</w:t>
      </w:r>
    </w:p>
    <w:p>
      <w:pPr>
        <w:pStyle w:val="Normal"/>
        <w:ind w:start="360" w:end="0"/>
        <w:rPr/>
      </w:pPr>
      <w:r>
        <w:rPr/>
      </w:r>
    </w:p>
    <w:p>
      <w:pPr>
        <w:pStyle w:val="Normal"/>
        <w:rPr/>
      </w:pPr>
      <w:r>
        <w:rPr/>
        <w:t>This will result in better valuation through the elimination of existing reconciliation problems, improved stability, increased scalability, reduced development time, and lower maintenance costs.  In addition, the proposed solution is intended to provide leverage to other similar projects; to the extent possible, the applications will be built in a componentized fashion that supports reusability.</w:t>
      </w:r>
    </w:p>
    <w:p>
      <w:pPr>
        <w:pStyle w:val="Normal"/>
        <w:rPr/>
      </w:pPr>
      <w:r>
        <w:rPr/>
      </w:r>
    </w:p>
    <w:p>
      <w:pPr>
        <w:pStyle w:val="Normal"/>
        <w:rPr/>
      </w:pPr>
      <w:r>
        <w:rPr/>
        <w:t xml:space="preserve">The current estimated duration for the project development and implementation is fifteen months. </w:t>
      </w:r>
    </w:p>
    <w:p>
      <w:pPr>
        <w:pStyle w:val="Normal"/>
        <w:rPr/>
      </w:pPr>
      <w:r>
        <w:rPr/>
      </w:r>
      <w:r>
        <w:br w:type="page"/>
      </w:r>
    </w:p>
    <w:p>
      <w:pPr>
        <w:pStyle w:val="Heading1"/>
        <w:rPr/>
      </w:pPr>
      <w:bookmarkStart w:id="7" w:name="__RefHeading___Toc526138700"/>
      <w:bookmarkEnd w:id="7"/>
      <w:r>
        <w:rPr/>
        <w:t>III. Current Business Environment</w:t>
      </w:r>
    </w:p>
    <w:p>
      <w:pPr>
        <w:pStyle w:val="Normal"/>
        <w:ind w:start="360" w:end="0"/>
        <w:rPr/>
      </w:pPr>
      <w:r>
        <w:rPr/>
      </w:r>
    </w:p>
    <w:p>
      <w:pPr>
        <w:pStyle w:val="Normal"/>
        <w:rPr/>
      </w:pPr>
      <w:r>
        <w:rPr/>
        <w:t>The current environment of physical gas and financial gas systems could be characterized with the following highlights:</w:t>
      </w:r>
    </w:p>
    <w:p>
      <w:pPr>
        <w:pStyle w:val="Normal"/>
        <w:rPr/>
      </w:pPr>
      <w:r>
        <w:rPr/>
      </w:r>
    </w:p>
    <w:p>
      <w:pPr>
        <w:pStyle w:val="Heading2"/>
        <w:ind w:hanging="0" w:start="0"/>
        <w:rPr/>
      </w:pPr>
      <w:bookmarkStart w:id="8" w:name="__RefHeading___Toc526138701"/>
      <w:bookmarkEnd w:id="8"/>
      <w:r>
        <w:rPr/>
        <w:t>Gas Systems.</w:t>
      </w:r>
    </w:p>
    <w:p>
      <w:pPr>
        <w:pStyle w:val="Normal"/>
        <w:numPr>
          <w:ilvl w:val="0"/>
          <w:numId w:val="10"/>
        </w:numPr>
        <w:rPr/>
      </w:pPr>
      <w:r>
        <w:rPr/>
        <w:t>Overall technology.</w:t>
      </w:r>
    </w:p>
    <w:p>
      <w:pPr>
        <w:pStyle w:val="BodyTextIndent2"/>
        <w:rPr/>
      </w:pPr>
      <w:r>
        <w:rPr/>
        <w:t>The current environment in the gas systems needs to move from the older technology set toward an industry-standard supported one.  The systems are not truly developed on an n-tier architecture to separate business logic from the application logic.  The followings are a few drawbacks of these older technologies:</w:t>
      </w:r>
    </w:p>
    <w:p>
      <w:pPr>
        <w:pStyle w:val="Normal"/>
        <w:numPr>
          <w:ilvl w:val="1"/>
          <w:numId w:val="10"/>
        </w:numPr>
        <w:rPr/>
      </w:pPr>
      <w:r>
        <w:rPr/>
        <w:t>They are limiting the system scalability.</w:t>
      </w:r>
    </w:p>
    <w:p>
      <w:pPr>
        <w:pStyle w:val="Normal"/>
        <w:numPr>
          <w:ilvl w:val="1"/>
          <w:numId w:val="10"/>
        </w:numPr>
        <w:rPr/>
      </w:pPr>
      <w:r>
        <w:rPr/>
        <w:t>They are problematic to troubleshoot and support.</w:t>
      </w:r>
    </w:p>
    <w:p>
      <w:pPr>
        <w:pStyle w:val="Normal"/>
        <w:numPr>
          <w:ilvl w:val="1"/>
          <w:numId w:val="10"/>
        </w:numPr>
        <w:rPr/>
      </w:pPr>
      <w:r>
        <w:rPr/>
        <w:t>They pose difficulties to acquire/secure resources with the necessary skills to enhance and maintain the system.</w:t>
      </w:r>
    </w:p>
    <w:p>
      <w:pPr>
        <w:pStyle w:val="Normal"/>
        <w:numPr>
          <w:ilvl w:val="0"/>
          <w:numId w:val="10"/>
        </w:numPr>
        <w:rPr/>
      </w:pPr>
      <w:r>
        <w:rPr/>
        <w:t>Overall languages.</w:t>
      </w:r>
    </w:p>
    <w:p>
      <w:pPr>
        <w:pStyle w:val="BodyTextIndent2"/>
        <w:rPr/>
      </w:pPr>
      <w:r>
        <w:rPr/>
        <w:t xml:space="preserve">The current gas systems utilizes as many as fourteen different programming languages developed over the past years. </w:t>
      </w:r>
    </w:p>
    <w:p>
      <w:pPr>
        <w:pStyle w:val="Normal"/>
        <w:numPr>
          <w:ilvl w:val="1"/>
          <w:numId w:val="10"/>
        </w:numPr>
        <w:rPr/>
      </w:pPr>
      <w:r>
        <w:rPr/>
        <w:t>These many languages require a high FTE count, high maintenance costs.</w:t>
      </w:r>
    </w:p>
    <w:p>
      <w:pPr>
        <w:pStyle w:val="Normal"/>
        <w:numPr>
          <w:ilvl w:val="1"/>
          <w:numId w:val="10"/>
        </w:numPr>
        <w:rPr/>
      </w:pPr>
      <w:r>
        <w:rPr/>
        <w:t>These many languages impede the sharing of development resources.</w:t>
      </w:r>
    </w:p>
    <w:p>
      <w:pPr>
        <w:pStyle w:val="Normal"/>
        <w:numPr>
          <w:ilvl w:val="0"/>
          <w:numId w:val="10"/>
        </w:numPr>
        <w:rPr/>
      </w:pPr>
      <w:r>
        <w:rPr/>
        <w:t>Overall systems.</w:t>
      </w:r>
    </w:p>
    <w:p>
      <w:pPr>
        <w:pStyle w:val="BodyTextIndent2"/>
        <w:rPr/>
      </w:pPr>
      <w:r>
        <w:rPr/>
        <w:t>The current gas systems utilize several complex, inflexible interrelated applications developed over the past years: SITARA, TDS, CPR, TAGG/ERMS, Phoenix.</w:t>
      </w:r>
    </w:p>
    <w:p>
      <w:pPr>
        <w:pStyle w:val="Normal"/>
        <w:numPr>
          <w:ilvl w:val="1"/>
          <w:numId w:val="10"/>
        </w:numPr>
        <w:rPr/>
      </w:pPr>
      <w:r>
        <w:rPr/>
        <w:t>Enhancements are not easy to implement due to the complexity of the accumulated systems.</w:t>
      </w:r>
    </w:p>
    <w:p>
      <w:pPr>
        <w:pStyle w:val="Normal"/>
        <w:numPr>
          <w:ilvl w:val="1"/>
          <w:numId w:val="10"/>
        </w:numPr>
        <w:rPr/>
      </w:pPr>
      <w:r>
        <w:rPr/>
        <w:t>Enhancements could require more than one gas system to implement.</w:t>
      </w:r>
    </w:p>
    <w:p>
      <w:pPr>
        <w:pStyle w:val="Normal"/>
        <w:numPr>
          <w:ilvl w:val="1"/>
          <w:numId w:val="10"/>
        </w:numPr>
        <w:rPr/>
      </w:pPr>
      <w:r>
        <w:rPr/>
        <w:t>The current gas systems have gone through so many revisions that it now becomes very difficult for developers to maintain and enhance the systems.</w:t>
      </w:r>
    </w:p>
    <w:p>
      <w:pPr>
        <w:pStyle w:val="Normal"/>
        <w:numPr>
          <w:ilvl w:val="1"/>
          <w:numId w:val="10"/>
        </w:numPr>
        <w:rPr/>
      </w:pPr>
      <w:r>
        <w:rPr/>
        <w:t>The current PortCalc limits our ability to improve the business process in many aspects such as the payment discount model, cash flow calculation, VAR position reporting, etc.</w:t>
      </w:r>
    </w:p>
    <w:p>
      <w:pPr>
        <w:pStyle w:val="Normal"/>
        <w:numPr>
          <w:ilvl w:val="0"/>
          <w:numId w:val="10"/>
        </w:numPr>
        <w:rPr/>
      </w:pPr>
      <w:r>
        <w:rPr/>
        <w:t>In the physical gas arena</w:t>
      </w:r>
    </w:p>
    <w:p>
      <w:pPr>
        <w:pStyle w:val="Normal"/>
        <w:numPr>
          <w:ilvl w:val="1"/>
          <w:numId w:val="10"/>
        </w:numPr>
        <w:rPr/>
      </w:pPr>
      <w:r>
        <w:rPr/>
        <w:t>The current midlle-tier technology in SITARA uses Orbix which is relatively old technology.</w:t>
      </w:r>
    </w:p>
    <w:p>
      <w:pPr>
        <w:pStyle w:val="Normal"/>
        <w:numPr>
          <w:ilvl w:val="1"/>
          <w:numId w:val="10"/>
        </w:numPr>
        <w:rPr/>
      </w:pPr>
      <w:r>
        <w:rPr/>
        <w:t>The middle-tier involves a complex node structure.</w:t>
      </w:r>
    </w:p>
    <w:p>
      <w:pPr>
        <w:pStyle w:val="Normal"/>
        <w:numPr>
          <w:ilvl w:val="1"/>
          <w:numId w:val="10"/>
        </w:numPr>
        <w:rPr/>
      </w:pPr>
      <w:r>
        <w:rPr/>
        <w:t xml:space="preserve">The SITARA database is structured based on Character Large Objects (CLOBs) which are known only to SITARA specific libraries and modules. </w:t>
      </w:r>
    </w:p>
    <w:p>
      <w:pPr>
        <w:pStyle w:val="Normal"/>
        <w:ind w:start="1080" w:end="0"/>
        <w:rPr/>
      </w:pPr>
      <w:r>
        <w:rPr/>
      </w:r>
    </w:p>
    <w:p>
      <w:pPr>
        <w:pStyle w:val="Normal"/>
        <w:ind w:start="1080" w:end="0"/>
        <w:rPr/>
      </w:pPr>
      <w:r>
        <w:rPr/>
      </w:r>
    </w:p>
    <w:p>
      <w:pPr>
        <w:pStyle w:val="Normal"/>
        <w:numPr>
          <w:ilvl w:val="0"/>
          <w:numId w:val="10"/>
        </w:numPr>
        <w:rPr/>
      </w:pPr>
      <w:r>
        <w:rPr/>
        <w:t>In the financial gas arena</w:t>
      </w:r>
    </w:p>
    <w:p>
      <w:pPr>
        <w:pStyle w:val="Normal"/>
        <w:numPr>
          <w:ilvl w:val="1"/>
          <w:numId w:val="10"/>
        </w:numPr>
        <w:rPr/>
      </w:pPr>
      <w:r>
        <w:rPr/>
        <w:t>TAGG/ERMS Valuation is based on the concept of Post Ids. The number of Post Ids has greatly increased making it difficult to manage. In the gas area alone, this number has gone up to 650 Post Ids per day.</w:t>
      </w:r>
    </w:p>
    <w:p>
      <w:pPr>
        <w:pStyle w:val="Normal"/>
        <w:numPr>
          <w:ilvl w:val="1"/>
          <w:numId w:val="10"/>
        </w:numPr>
        <w:rPr/>
      </w:pPr>
      <w:r>
        <w:rPr/>
        <w:t>The current technology is also not a true 3-tiered architecture which would allow easier scalability, flexibility, maintainability.</w:t>
      </w:r>
    </w:p>
    <w:p>
      <w:pPr>
        <w:pStyle w:val="Normal"/>
        <w:rPr/>
      </w:pPr>
      <w:r>
        <w:rPr/>
      </w:r>
    </w:p>
    <w:p>
      <w:pPr>
        <w:pStyle w:val="Normal"/>
        <w:rPr/>
      </w:pPr>
      <w:r>
        <w:rPr/>
      </w:r>
    </w:p>
    <w:p>
      <w:pPr>
        <w:pStyle w:val="Heading2"/>
        <w:ind w:hanging="0" w:start="0"/>
        <w:rPr/>
      </w:pPr>
      <w:bookmarkStart w:id="9" w:name="__RefHeading___Toc526138702"/>
      <w:bookmarkEnd w:id="9"/>
      <w:r>
        <w:rPr/>
        <w:t>Deal Valuation.</w:t>
      </w:r>
    </w:p>
    <w:p>
      <w:pPr>
        <w:pStyle w:val="Normal"/>
        <w:numPr>
          <w:ilvl w:val="0"/>
          <w:numId w:val="10"/>
        </w:numPr>
        <w:rPr/>
      </w:pPr>
      <w:r>
        <w:rPr/>
        <w:t xml:space="preserve">An inter-related, inter-dependent link exists between the physical gas and financial gas deal entry systems under the paradigm of deal-level hedging. </w:t>
      </w:r>
    </w:p>
    <w:p>
      <w:pPr>
        <w:pStyle w:val="BodyTextIndent2"/>
        <w:rPr/>
      </w:pPr>
      <w:r>
        <w:rPr/>
        <w:t>This deal-level hedging poses a true reconciliation problem between the SITARA physical deals and TAGG/ERMS financial hedge deals which do not have a 1-to-1 relationship with SITARA hedged pieces due to the very different structure of the two systems.</w:t>
      </w:r>
    </w:p>
    <w:p>
      <w:pPr>
        <w:pStyle w:val="Normal"/>
        <w:numPr>
          <w:ilvl w:val="0"/>
          <w:numId w:val="10"/>
        </w:numPr>
        <w:rPr/>
      </w:pPr>
      <w:r>
        <w:rPr/>
        <w:t xml:space="preserve">There is a need for a new way to handle gas valuation. </w:t>
      </w:r>
    </w:p>
    <w:p>
      <w:pPr>
        <w:pStyle w:val="BodyTextIndent2"/>
        <w:rPr/>
      </w:pPr>
      <w:r>
        <w:rPr/>
        <w:t>The deal valuation is being done at this time mainly in ERMS which provides the physical and financial gas deal valuations for all gas applications, and also in various gas deal applications: TDS (intra-day gas valuation), CPR (which provides a view to be fed to ERMS valuation and also to TDS).</w:t>
      </w:r>
    </w:p>
    <w:p>
      <w:pPr>
        <w:pStyle w:val="Normal"/>
        <w:numPr>
          <w:ilvl w:val="0"/>
          <w:numId w:val="10"/>
        </w:numPr>
        <w:rPr/>
      </w:pPr>
      <w:r>
        <w:rPr/>
        <w:t>There is also a need for real-time, or close to real time as possible, deal valuation for gas.</w:t>
      </w:r>
      <w:r>
        <w:br w:type="page"/>
      </w:r>
    </w:p>
    <w:p>
      <w:pPr>
        <w:pStyle w:val="Normal"/>
        <w:rPr/>
      </w:pPr>
      <w:r>
        <w:rPr/>
      </w:r>
    </w:p>
    <w:p>
      <w:pPr>
        <w:pStyle w:val="Heading2"/>
        <w:ind w:hanging="0" w:start="0"/>
        <w:rPr/>
      </w:pPr>
      <w:bookmarkStart w:id="10" w:name="__RefHeading___Toc526138703"/>
      <w:bookmarkEnd w:id="10"/>
      <w:r>
        <w:rPr/>
        <w:t>Current Environment Diagram</w:t>
      </w:r>
    </w:p>
    <w:p>
      <w:pPr>
        <w:pStyle w:val="Normal"/>
        <w:rPr/>
      </w:pPr>
      <w:r>
        <w:rPr/>
      </w:r>
    </w:p>
    <w:p>
      <w:pPr>
        <w:pStyle w:val="Normal"/>
        <w:rPr/>
      </w:pPr>
      <w:r>
        <w:rPr/>
        <w:object w:dxaOrig="8316" w:dyaOrig="648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415.8pt;height:324.15pt" filled="f" o:ole="">
            <v:imagedata r:id="rId8" o:title=""/>
          </v:shape>
          <o:OLEObject Type="Embed" ProgID="" ShapeID="ole_rId7" DrawAspect="Content" ObjectID="_467970457" r:id="rId7"/>
        </w:object>
      </w:r>
      <w:r>
        <w:br w:type="page"/>
      </w:r>
    </w:p>
    <w:p>
      <w:pPr>
        <w:pStyle w:val="Heading1"/>
        <w:rPr/>
      </w:pPr>
      <w:bookmarkStart w:id="11" w:name="__RefHeading___Toc526138704"/>
      <w:bookmarkEnd w:id="11"/>
      <w:r>
        <w:rPr/>
        <w:t>IV.  Proposed Business Environment</w:t>
      </w:r>
    </w:p>
    <w:p>
      <w:pPr>
        <w:pStyle w:val="Normal"/>
        <w:ind w:start="360" w:end="0"/>
        <w:rPr/>
      </w:pPr>
      <w:r>
        <w:rPr/>
      </w:r>
    </w:p>
    <w:p>
      <w:pPr>
        <w:pStyle w:val="Normal"/>
        <w:rPr/>
      </w:pPr>
      <w:r>
        <w:rPr/>
        <w:t xml:space="preserve">In terms of business solution, the future gas environment is proposed to have a clear separation between the physical deal-level capture and financial hedging functionalities. </w:t>
      </w:r>
    </w:p>
    <w:p>
      <w:pPr>
        <w:pStyle w:val="Normal"/>
        <w:rPr/>
      </w:pPr>
      <w:r>
        <w:rPr/>
      </w:r>
    </w:p>
    <w:p>
      <w:pPr>
        <w:pStyle w:val="Normal"/>
        <w:numPr>
          <w:ilvl w:val="0"/>
          <w:numId w:val="3"/>
        </w:numPr>
        <w:rPr/>
      </w:pPr>
      <w:r>
        <w:rPr/>
        <w:t>That means no more deal linking between a physical deal and its financial-hedged components across systems.</w:t>
      </w:r>
    </w:p>
    <w:p>
      <w:pPr>
        <w:pStyle w:val="Normal"/>
        <w:numPr>
          <w:ilvl w:val="0"/>
          <w:numId w:val="3"/>
        </w:numPr>
        <w:rPr/>
      </w:pPr>
      <w:r>
        <w:rPr>
          <w:rFonts w:eastAsia="Palatino"/>
        </w:rPr>
        <w:t xml:space="preserve"> </w:t>
      </w:r>
      <w:r>
        <w:rPr/>
        <w:t>Instead, financial deal-hedging will no longer be performed at the individual deal level, but rather at the desk level. The gas valuation therefore will be redesigned in order to eliminate all current linkages among SITARA, CPR, TAGG/ERMS and to separate the functionalities of the systems.</w:t>
      </w:r>
    </w:p>
    <w:p>
      <w:pPr>
        <w:pStyle w:val="Normal"/>
        <w:rPr/>
      </w:pPr>
      <w:r>
        <w:rPr/>
      </w:r>
    </w:p>
    <w:p>
      <w:pPr>
        <w:pStyle w:val="Normal"/>
        <w:rPr/>
      </w:pPr>
      <w:r>
        <w:rPr/>
        <w:t xml:space="preserve">In regards to the technology solution for the legacy systems, the future gas environment will incorporate more up-to-date design standards and current mainstream technologies with the vision to provide scalability, reliability, reusability, ease of maintenance and functionality addition.  </w:t>
      </w:r>
    </w:p>
    <w:p>
      <w:pPr>
        <w:pStyle w:val="Normal"/>
        <w:numPr>
          <w:ilvl w:val="0"/>
          <w:numId w:val="19"/>
        </w:numPr>
        <w:rPr/>
      </w:pPr>
      <w:r>
        <w:rPr/>
        <w:t xml:space="preserve">A separate Technical Direction Rationale document was drafted by John Simmons, Director of the Component Architecture team, in support for the mid-tier rewrite approaches for our CGS efforts.  </w:t>
      </w:r>
    </w:p>
    <w:p>
      <w:pPr>
        <w:pStyle w:val="Normal"/>
        <w:numPr>
          <w:ilvl w:val="0"/>
          <w:numId w:val="19"/>
        </w:numPr>
        <w:rPr/>
      </w:pPr>
      <w:r>
        <w:rPr/>
        <w:t xml:space="preserve">The new gas valuation development will be utilizing the components of Global Valuation Framework. </w:t>
      </w:r>
    </w:p>
    <w:p>
      <w:pPr>
        <w:pStyle w:val="Normal"/>
        <w:rPr/>
      </w:pPr>
      <w:r>
        <w:rPr/>
      </w:r>
    </w:p>
    <w:p>
      <w:pPr>
        <w:pStyle w:val="Normal"/>
        <w:rPr/>
      </w:pPr>
      <w:r>
        <w:rPr/>
        <w:t>In short, the future gas system hopes to achieve the following goals:</w:t>
      </w:r>
    </w:p>
    <w:p>
      <w:pPr>
        <w:pStyle w:val="Normal"/>
        <w:numPr>
          <w:ilvl w:val="0"/>
          <w:numId w:val="13"/>
        </w:numPr>
        <w:rPr/>
      </w:pPr>
      <w:r>
        <w:rPr/>
        <w:t>A single point of physical gas deal capture system.</w:t>
      </w:r>
    </w:p>
    <w:p>
      <w:pPr>
        <w:pStyle w:val="Normal"/>
        <w:numPr>
          <w:ilvl w:val="0"/>
          <w:numId w:val="13"/>
        </w:numPr>
        <w:rPr/>
      </w:pPr>
      <w:r>
        <w:rPr/>
        <w:t>A single point of financial gas deal capture system.</w:t>
      </w:r>
    </w:p>
    <w:p>
      <w:pPr>
        <w:pStyle w:val="Normal"/>
        <w:numPr>
          <w:ilvl w:val="0"/>
          <w:numId w:val="13"/>
        </w:numPr>
        <w:rPr/>
      </w:pPr>
      <w:r>
        <w:rPr/>
        <w:t>Reduction of deal-level hedging in the business process.</w:t>
      </w:r>
    </w:p>
    <w:p>
      <w:pPr>
        <w:pStyle w:val="Normal"/>
        <w:numPr>
          <w:ilvl w:val="0"/>
          <w:numId w:val="13"/>
        </w:numPr>
        <w:rPr/>
      </w:pPr>
      <w:r>
        <w:rPr/>
        <w:t>Reduction of auto hedging in the gas systems.</w:t>
      </w:r>
    </w:p>
    <w:p>
      <w:pPr>
        <w:pStyle w:val="Normal"/>
        <w:numPr>
          <w:ilvl w:val="0"/>
          <w:numId w:val="13"/>
        </w:numPr>
        <w:rPr/>
      </w:pPr>
      <w:r>
        <w:rPr/>
        <w:t>A new gas valuation engine with real-time valuation at deal changes.</w:t>
      </w:r>
    </w:p>
    <w:p>
      <w:pPr>
        <w:pStyle w:val="Normal"/>
        <w:numPr>
          <w:ilvl w:val="0"/>
          <w:numId w:val="13"/>
        </w:numPr>
        <w:rPr/>
      </w:pPr>
      <w:r>
        <w:rPr/>
        <w:t>Retirement of physical gas in CPR and TAGG.</w:t>
      </w:r>
    </w:p>
    <w:p>
      <w:pPr>
        <w:pStyle w:val="Normal"/>
        <w:numPr>
          <w:ilvl w:val="0"/>
          <w:numId w:val="13"/>
        </w:numPr>
        <w:rPr/>
      </w:pPr>
      <w:r>
        <w:rPr/>
        <w:t>A more flexible new system easier to integrate with other strategic initiatives.</w:t>
      </w:r>
    </w:p>
    <w:p>
      <w:pPr>
        <w:pStyle w:val="Normal"/>
        <w:numPr>
          <w:ilvl w:val="0"/>
          <w:numId w:val="13"/>
        </w:numPr>
        <w:rPr/>
      </w:pPr>
      <w:r>
        <w:rPr/>
        <w:t>A true 3-tier architecture separating business logic from application logic.</w:t>
      </w:r>
    </w:p>
    <w:p>
      <w:pPr>
        <w:pStyle w:val="Normal"/>
        <w:numPr>
          <w:ilvl w:val="0"/>
          <w:numId w:val="13"/>
        </w:numPr>
        <w:rPr/>
      </w:pPr>
      <w:r>
        <w:rPr/>
        <w:t>Doing away with the complex node structure and CLOBs in current SITARA mid-tier architecture.</w:t>
      </w:r>
    </w:p>
    <w:p>
      <w:pPr>
        <w:pStyle w:val="Normal"/>
        <w:numPr>
          <w:ilvl w:val="0"/>
          <w:numId w:val="13"/>
        </w:numPr>
        <w:rPr/>
      </w:pPr>
      <w:r>
        <w:rPr/>
        <w:t>An up-to-date and “smaller range of” technology tool set.</w:t>
      </w:r>
    </w:p>
    <w:p>
      <w:pPr>
        <w:pStyle w:val="Normal"/>
        <w:numPr>
          <w:ilvl w:val="0"/>
          <w:numId w:val="13"/>
        </w:numPr>
        <w:rPr/>
      </w:pPr>
      <w:r>
        <w:rPr/>
        <w:t>A more redeployable programming staff.</w:t>
      </w:r>
    </w:p>
    <w:p>
      <w:pPr>
        <w:pStyle w:val="Normal"/>
        <w:numPr>
          <w:ilvl w:val="0"/>
          <w:numId w:val="13"/>
        </w:numPr>
        <w:rPr/>
      </w:pPr>
      <w:r>
        <w:rPr/>
        <w:t>Solution to current issues with ERMS PortCalc valuation: payment discounting, cash flow calculation, VAR position requirements, etc.</w:t>
      </w:r>
    </w:p>
    <w:p>
      <w:pPr>
        <w:pStyle w:val="Normal"/>
        <w:rPr/>
      </w:pPr>
      <w:r>
        <w:rPr/>
      </w:r>
    </w:p>
    <w:p>
      <w:pPr>
        <w:pStyle w:val="Normal"/>
        <w:rPr/>
      </w:pPr>
      <w:r>
        <w:rPr/>
      </w:r>
    </w:p>
    <w:p>
      <w:pPr>
        <w:pStyle w:val="Normal"/>
        <w:rPr/>
      </w:pPr>
      <w:r>
        <w:rPr/>
      </w:r>
      <w:r>
        <w:br w:type="page"/>
      </w:r>
    </w:p>
    <w:p>
      <w:pPr>
        <w:pStyle w:val="Heading2"/>
        <w:ind w:hanging="0" w:start="0"/>
        <w:rPr/>
      </w:pPr>
      <w:bookmarkStart w:id="12" w:name="__RefHeading___Toc526138705"/>
      <w:bookmarkEnd w:id="12"/>
      <w:r>
        <w:rPr/>
        <w:t>Proposed Environment Diagram</w:t>
      </w:r>
    </w:p>
    <w:p>
      <w:pPr>
        <w:pStyle w:val="Heading1"/>
        <w:rPr/>
      </w:pPr>
      <w:r>
        <w:rPr/>
      </w:r>
    </w:p>
    <w:p>
      <w:pPr>
        <w:pStyle w:val="Normal"/>
        <w:rPr/>
      </w:pPr>
      <w:r>
        <w:rPr/>
        <w:object w:dxaOrig="9027" w:dyaOrig="6229">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451.35pt;height:311.45pt" filled="f" o:ole="">
            <v:imagedata r:id="rId10" o:title=""/>
          </v:shape>
          <o:OLEObject Type="Embed" ProgID="" ShapeID="ole_rId9" DrawAspect="Content" ObjectID="_190008197" r:id="rId9"/>
        </w:object>
      </w:r>
      <w:r>
        <w:br w:type="page"/>
      </w:r>
    </w:p>
    <w:p>
      <w:pPr>
        <w:pStyle w:val="Normal"/>
        <w:rPr/>
      </w:pPr>
      <w:r>
        <w:rPr/>
      </w:r>
    </w:p>
    <w:p>
      <w:pPr>
        <w:pStyle w:val="Heading1"/>
        <w:rPr/>
      </w:pPr>
      <w:bookmarkStart w:id="13" w:name="__RefHeading___Toc526138706"/>
      <w:bookmarkEnd w:id="13"/>
      <w:r>
        <w:rPr/>
        <w:t>V.  Project Scope</w:t>
      </w:r>
    </w:p>
    <w:p>
      <w:pPr>
        <w:pStyle w:val="Normal"/>
        <w:rPr/>
      </w:pPr>
      <w:r>
        <w:rPr/>
        <w:t>The scope of this project includes performing a rewrite of the gas trading system middle-tier in a new technology (possibly consisting of EJB and WebLogic), a database backend schema redesign, and a new gas valuation model.</w:t>
      </w:r>
    </w:p>
    <w:p>
      <w:pPr>
        <w:pStyle w:val="Normal"/>
        <w:rPr/>
      </w:pPr>
      <w:r>
        <w:rPr/>
      </w:r>
    </w:p>
    <w:p>
      <w:pPr>
        <w:pStyle w:val="Heading2"/>
        <w:ind w:hanging="0" w:start="0"/>
        <w:rPr/>
      </w:pPr>
      <w:bookmarkStart w:id="14" w:name="__RefHeading___Toc526138707"/>
      <w:bookmarkEnd w:id="14"/>
      <w:r>
        <w:rPr/>
        <w:t>In Scope</w:t>
      </w:r>
    </w:p>
    <w:p>
      <w:pPr>
        <w:pStyle w:val="Normal"/>
        <w:ind w:start="360" w:end="0"/>
        <w:rPr/>
      </w:pPr>
      <w:r>
        <w:rPr/>
        <w:t>The following major modules will be addresed:</w:t>
      </w:r>
    </w:p>
    <w:p>
      <w:pPr>
        <w:pStyle w:val="Normal"/>
        <w:numPr>
          <w:ilvl w:val="0"/>
          <w:numId w:val="24"/>
        </w:numPr>
        <w:tabs>
          <w:tab w:val="left" w:pos="720" w:leader="none"/>
        </w:tabs>
        <w:ind w:hanging="360" w:start="720" w:end="0"/>
        <w:rPr>
          <w:u w:val="single"/>
        </w:rPr>
      </w:pPr>
      <w:r>
        <w:rPr>
          <w:u w:val="single"/>
        </w:rPr>
        <w:t>Schema Redesign of Gas Deals.</w:t>
      </w:r>
    </w:p>
    <w:p>
      <w:pPr>
        <w:pStyle w:val="Normal"/>
        <w:numPr>
          <w:ilvl w:val="0"/>
          <w:numId w:val="5"/>
        </w:numPr>
        <w:rPr/>
      </w:pPr>
      <w:r>
        <w:rPr/>
        <w:t>Database schema redesign to store physical gas deals with expansion view for financial deals in the future.</w:t>
      </w:r>
    </w:p>
    <w:p>
      <w:pPr>
        <w:pStyle w:val="Normal"/>
        <w:numPr>
          <w:ilvl w:val="1"/>
          <w:numId w:val="5"/>
        </w:numPr>
        <w:tabs>
          <w:tab w:val="clear" w:pos="720"/>
          <w:tab w:val="left" w:pos="1530" w:leader="none"/>
        </w:tabs>
        <w:ind w:hanging="0" w:start="1440" w:end="0"/>
        <w:rPr/>
      </w:pPr>
      <w:r>
        <w:rPr/>
        <w:t>Includes mapping TAGG data into CGS (e.g., book Index Ids to counterparty PUB codes).</w:t>
      </w:r>
    </w:p>
    <w:p>
      <w:pPr>
        <w:pStyle w:val="Normal"/>
        <w:numPr>
          <w:ilvl w:val="0"/>
          <w:numId w:val="7"/>
        </w:numPr>
        <w:rPr/>
      </w:pPr>
      <w:r>
        <w:rPr/>
        <w:t>Normalization of data structures for the gas deals, replacing CLOBs.</w:t>
      </w:r>
    </w:p>
    <w:p>
      <w:pPr>
        <w:pStyle w:val="Normal"/>
        <w:ind w:start="720" w:end="0"/>
        <w:rPr/>
      </w:pPr>
      <w:r>
        <w:rPr/>
      </w:r>
    </w:p>
    <w:p>
      <w:pPr>
        <w:pStyle w:val="Normal"/>
        <w:ind w:start="1080" w:end="0"/>
        <w:rPr/>
      </w:pPr>
      <w:r>
        <w:rPr/>
      </w:r>
    </w:p>
    <w:p>
      <w:pPr>
        <w:pStyle w:val="Normal"/>
        <w:numPr>
          <w:ilvl w:val="0"/>
          <w:numId w:val="24"/>
        </w:numPr>
        <w:ind w:hanging="0" w:start="360" w:end="0"/>
        <w:rPr>
          <w:u w:val="single"/>
        </w:rPr>
      </w:pPr>
      <w:r>
        <w:rPr>
          <w:u w:val="single"/>
        </w:rPr>
        <w:t>New Gas Valuation.</w:t>
      </w:r>
    </w:p>
    <w:p>
      <w:pPr>
        <w:pStyle w:val="Normal"/>
        <w:numPr>
          <w:ilvl w:val="0"/>
          <w:numId w:val="5"/>
        </w:numPr>
        <w:rPr/>
      </w:pPr>
      <w:r>
        <w:rPr/>
        <w:t>Immediate focus on physical gas deal valuation development first.</w:t>
      </w:r>
    </w:p>
    <w:p>
      <w:pPr>
        <w:pStyle w:val="Normal"/>
        <w:numPr>
          <w:ilvl w:val="0"/>
          <w:numId w:val="5"/>
        </w:numPr>
        <w:rPr/>
      </w:pPr>
      <w:r>
        <w:rPr/>
        <w:t>Real-time valuation per deal changes and curve changes.</w:t>
      </w:r>
    </w:p>
    <w:p>
      <w:pPr>
        <w:pStyle w:val="Normal"/>
        <w:numPr>
          <w:ilvl w:val="0"/>
          <w:numId w:val="5"/>
        </w:numPr>
        <w:rPr/>
      </w:pPr>
      <w:r>
        <w:rPr/>
        <w:t xml:space="preserve">Physical deal types for valuation:  </w:t>
      </w:r>
    </w:p>
    <w:p>
      <w:pPr>
        <w:pStyle w:val="Normal"/>
        <w:numPr>
          <w:ilvl w:val="0"/>
          <w:numId w:val="2"/>
        </w:numPr>
        <w:ind w:hanging="0" w:start="1440" w:end="0"/>
        <w:rPr/>
      </w:pPr>
      <w:r>
        <w:rPr/>
        <w:t>Forward</w:t>
      </w:r>
    </w:p>
    <w:p>
      <w:pPr>
        <w:pStyle w:val="Normal"/>
        <w:numPr>
          <w:ilvl w:val="0"/>
          <w:numId w:val="2"/>
        </w:numPr>
        <w:ind w:hanging="0" w:start="1440" w:end="0"/>
        <w:rPr/>
      </w:pPr>
      <w:r>
        <w:rPr/>
        <w:t>Desk-to-Desk</w:t>
      </w:r>
    </w:p>
    <w:p>
      <w:pPr>
        <w:pStyle w:val="Normal"/>
        <w:numPr>
          <w:ilvl w:val="0"/>
          <w:numId w:val="2"/>
        </w:numPr>
        <w:ind w:hanging="0" w:start="1440" w:end="0"/>
        <w:rPr/>
      </w:pPr>
      <w:r>
        <w:rPr/>
        <w:t>Requirement</w:t>
      </w:r>
    </w:p>
    <w:p>
      <w:pPr>
        <w:pStyle w:val="Normal"/>
        <w:numPr>
          <w:ilvl w:val="0"/>
          <w:numId w:val="2"/>
        </w:numPr>
        <w:ind w:hanging="0" w:start="1440" w:end="0"/>
        <w:rPr/>
      </w:pPr>
      <w:r>
        <w:rPr/>
        <w:t>EFP</w:t>
      </w:r>
    </w:p>
    <w:p>
      <w:pPr>
        <w:pStyle w:val="Normal"/>
        <w:numPr>
          <w:ilvl w:val="0"/>
          <w:numId w:val="2"/>
        </w:numPr>
        <w:ind w:hanging="0" w:start="1440" w:end="0"/>
        <w:rPr/>
      </w:pPr>
      <w:r>
        <w:rPr/>
        <w:t>Physical Exchange</w:t>
      </w:r>
    </w:p>
    <w:p>
      <w:pPr>
        <w:pStyle w:val="Normal"/>
        <w:numPr>
          <w:ilvl w:val="0"/>
          <w:numId w:val="2"/>
        </w:numPr>
        <w:ind w:hanging="0" w:start="1440" w:end="0"/>
        <w:rPr/>
      </w:pPr>
      <w:r>
        <w:rPr/>
        <w:t>Storage</w:t>
      </w:r>
    </w:p>
    <w:p>
      <w:pPr>
        <w:pStyle w:val="Normal"/>
        <w:numPr>
          <w:ilvl w:val="0"/>
          <w:numId w:val="2"/>
        </w:numPr>
        <w:ind w:hanging="0" w:start="1440" w:end="0"/>
        <w:rPr/>
      </w:pPr>
      <w:r>
        <w:rPr/>
        <w:t>Transportation Capacity</w:t>
      </w:r>
    </w:p>
    <w:p>
      <w:pPr>
        <w:pStyle w:val="Normal"/>
        <w:numPr>
          <w:ilvl w:val="0"/>
          <w:numId w:val="2"/>
        </w:numPr>
        <w:ind w:hanging="0" w:start="1440" w:end="0"/>
        <w:rPr/>
      </w:pPr>
      <w:r>
        <w:rPr/>
        <w:t>Transportation Usage</w:t>
      </w:r>
    </w:p>
    <w:p>
      <w:pPr>
        <w:pStyle w:val="Normal"/>
        <w:numPr>
          <w:ilvl w:val="0"/>
          <w:numId w:val="2"/>
        </w:numPr>
        <w:ind w:hanging="0" w:start="1440" w:end="0"/>
        <w:rPr/>
      </w:pPr>
      <w:r>
        <w:rPr/>
        <w:t>EOL Physical Deal</w:t>
      </w:r>
    </w:p>
    <w:p>
      <w:pPr>
        <w:pStyle w:val="Normal"/>
        <w:numPr>
          <w:ilvl w:val="0"/>
          <w:numId w:val="5"/>
        </w:numPr>
        <w:rPr/>
      </w:pPr>
      <w:r>
        <w:rPr/>
        <w:t>Development of a Gas Commodity Specific Interface.</w:t>
      </w:r>
    </w:p>
    <w:p>
      <w:pPr>
        <w:pStyle w:val="Normal"/>
        <w:numPr>
          <w:ilvl w:val="0"/>
          <w:numId w:val="5"/>
        </w:numPr>
        <w:rPr/>
      </w:pPr>
      <w:r>
        <w:rPr/>
        <w:t>Incorporation of the components of Global Valuation Framework.</w:t>
      </w:r>
    </w:p>
    <w:p>
      <w:pPr>
        <w:pStyle w:val="Normal"/>
        <w:numPr>
          <w:ilvl w:val="0"/>
          <w:numId w:val="5"/>
        </w:numPr>
        <w:rPr/>
      </w:pPr>
      <w:r>
        <w:rPr/>
        <w:t>Some position and P&amp;L reporting.</w:t>
      </w:r>
    </w:p>
    <w:p>
      <w:pPr>
        <w:pStyle w:val="Normal"/>
        <w:ind w:start="720" w:end="0"/>
        <w:rPr/>
      </w:pPr>
      <w:r>
        <w:rPr/>
      </w:r>
    </w:p>
    <w:p>
      <w:pPr>
        <w:pStyle w:val="Normal"/>
        <w:numPr>
          <w:ilvl w:val="0"/>
          <w:numId w:val="24"/>
        </w:numPr>
        <w:ind w:hanging="0" w:start="360" w:end="0"/>
        <w:rPr>
          <w:u w:val="single"/>
        </w:rPr>
      </w:pPr>
      <w:r>
        <w:rPr>
          <w:u w:val="single"/>
        </w:rPr>
        <w:t>Deal Capture</w:t>
      </w:r>
    </w:p>
    <w:p>
      <w:pPr>
        <w:pStyle w:val="Normal"/>
        <w:numPr>
          <w:ilvl w:val="0"/>
          <w:numId w:val="25"/>
        </w:numPr>
        <w:rPr/>
      </w:pPr>
      <w:r>
        <w:rPr/>
        <w:t>Enhance Deal Manager / Trade Blotter to be single entry point for all physical natural gas deals.</w:t>
      </w:r>
    </w:p>
    <w:p>
      <w:pPr>
        <w:pStyle w:val="Normal"/>
        <w:numPr>
          <w:ilvl w:val="0"/>
          <w:numId w:val="25"/>
        </w:numPr>
        <w:rPr/>
      </w:pPr>
      <w:r>
        <w:rPr/>
        <w:t>Retire TAGG physical deal entry.</w:t>
      </w:r>
    </w:p>
    <w:p>
      <w:pPr>
        <w:pStyle w:val="Normal"/>
        <w:numPr>
          <w:ilvl w:val="0"/>
          <w:numId w:val="25"/>
        </w:numPr>
        <w:rPr/>
      </w:pPr>
      <w:r>
        <w:rPr/>
        <w:t>Remove Orbix architecture.</w:t>
      </w:r>
    </w:p>
    <w:p>
      <w:pPr>
        <w:pStyle w:val="Normal"/>
        <w:numPr>
          <w:ilvl w:val="0"/>
          <w:numId w:val="25"/>
        </w:numPr>
        <w:rPr/>
      </w:pPr>
      <w:r>
        <w:rPr/>
        <w:t>Remove automatic hedging mechanism.</w:t>
      </w:r>
    </w:p>
    <w:p>
      <w:pPr>
        <w:pStyle w:val="Normal"/>
        <w:ind w:start="720" w:end="0"/>
        <w:rPr/>
      </w:pPr>
      <w:r>
        <w:rPr/>
      </w:r>
    </w:p>
    <w:p>
      <w:pPr>
        <w:pStyle w:val="Normal"/>
        <w:numPr>
          <w:ilvl w:val="0"/>
          <w:numId w:val="24"/>
        </w:numPr>
        <w:tabs>
          <w:tab w:val="left" w:pos="720" w:leader="none"/>
        </w:tabs>
        <w:ind w:hanging="360" w:start="720" w:end="0"/>
        <w:rPr>
          <w:u w:val="single"/>
        </w:rPr>
      </w:pPr>
      <w:r>
        <w:rPr>
          <w:u w:val="single"/>
        </w:rPr>
        <w:t>Position Manager.</w:t>
      </w:r>
    </w:p>
    <w:p>
      <w:pPr>
        <w:pStyle w:val="Normal"/>
        <w:numPr>
          <w:ilvl w:val="0"/>
          <w:numId w:val="18"/>
        </w:numPr>
        <w:rPr/>
      </w:pPr>
      <w:r>
        <w:rPr/>
        <w:t>Remove Orbix architecture.</w:t>
      </w:r>
    </w:p>
    <w:p>
      <w:pPr>
        <w:pStyle w:val="Normal"/>
        <w:numPr>
          <w:ilvl w:val="0"/>
          <w:numId w:val="18"/>
        </w:numPr>
        <w:rPr/>
      </w:pPr>
      <w:r>
        <w:rPr/>
        <w:t>Improve reliability for the Position Manager.</w:t>
      </w:r>
    </w:p>
    <w:p>
      <w:pPr>
        <w:pStyle w:val="Normal"/>
        <w:ind w:start="720" w:end="0"/>
        <w:rPr/>
      </w:pPr>
      <w:r>
        <w:rPr/>
      </w:r>
    </w:p>
    <w:p>
      <w:pPr>
        <w:pStyle w:val="Normal"/>
        <w:numPr>
          <w:ilvl w:val="0"/>
          <w:numId w:val="24"/>
        </w:numPr>
        <w:tabs>
          <w:tab w:val="left" w:pos="720" w:leader="none"/>
        </w:tabs>
        <w:ind w:hanging="360" w:start="720" w:end="0"/>
        <w:rPr/>
      </w:pPr>
      <w:r>
        <w:rPr>
          <w:u w:val="single"/>
        </w:rPr>
        <w:t>Rewrite Various Processes</w:t>
      </w:r>
      <w:r>
        <w:rPr/>
        <w:t xml:space="preserve"> using the new technology tool set.</w:t>
      </w:r>
    </w:p>
    <w:p>
      <w:pPr>
        <w:pStyle w:val="Normal"/>
        <w:rPr/>
      </w:pPr>
      <w:r>
        <w:rPr/>
      </w:r>
    </w:p>
    <w:p>
      <w:pPr>
        <w:pStyle w:val="Normal"/>
        <w:numPr>
          <w:ilvl w:val="0"/>
          <w:numId w:val="24"/>
        </w:numPr>
        <w:tabs>
          <w:tab w:val="left" w:pos="720" w:leader="none"/>
        </w:tabs>
        <w:ind w:hanging="360" w:start="720" w:end="0"/>
        <w:rPr>
          <w:u w:val="single"/>
        </w:rPr>
      </w:pPr>
      <w:r>
        <w:rPr>
          <w:u w:val="single"/>
        </w:rPr>
        <w:t>Retire CPR</w:t>
      </w:r>
    </w:p>
    <w:p>
      <w:pPr>
        <w:pStyle w:val="Normal"/>
        <w:ind w:start="720" w:end="0"/>
        <w:rPr>
          <w:u w:val="single"/>
        </w:rPr>
      </w:pPr>
      <w:r>
        <w:rPr>
          <w:u w:val="single"/>
        </w:rPr>
      </w:r>
    </w:p>
    <w:p>
      <w:pPr>
        <w:pStyle w:val="Heading2"/>
        <w:ind w:hanging="0" w:start="0"/>
        <w:rPr/>
      </w:pPr>
      <w:r>
        <w:rPr/>
      </w:r>
    </w:p>
    <w:p>
      <w:pPr>
        <w:pStyle w:val="Heading2"/>
        <w:ind w:hanging="0" w:start="0"/>
        <w:rPr/>
      </w:pPr>
      <w:bookmarkStart w:id="15" w:name="__RefHeading___Toc526138708"/>
      <w:r>
        <w:rPr/>
        <w:t>Not In Scope</w:t>
      </w:r>
      <w:bookmarkEnd w:id="15"/>
      <w:r>
        <w:rPr/>
        <w:t xml:space="preserve"> </w:t>
      </w:r>
    </w:p>
    <w:p>
      <w:pPr>
        <w:pStyle w:val="Normal"/>
        <w:numPr>
          <w:ilvl w:val="0"/>
          <w:numId w:val="20"/>
        </w:numPr>
        <w:rPr/>
      </w:pPr>
      <w:r>
        <w:rPr/>
        <w:t>No major changes to the presentation layer of deal capture system.</w:t>
      </w:r>
    </w:p>
    <w:p>
      <w:pPr>
        <w:pStyle w:val="Normal"/>
        <w:numPr>
          <w:ilvl w:val="0"/>
          <w:numId w:val="9"/>
        </w:numPr>
        <w:rPr/>
      </w:pPr>
      <w:r>
        <w:rPr/>
        <w:t>No immediate focus on financial gas valuation at this time.</w:t>
      </w:r>
    </w:p>
    <w:p>
      <w:pPr>
        <w:pStyle w:val="Normal"/>
        <w:numPr>
          <w:ilvl w:val="0"/>
          <w:numId w:val="9"/>
        </w:numPr>
        <w:rPr/>
      </w:pPr>
      <w:r>
        <w:rPr/>
        <w:t>No reporting for downstream operations.</w:t>
      </w:r>
    </w:p>
    <w:p>
      <w:pPr>
        <w:pStyle w:val="Normal"/>
        <w:numPr>
          <w:ilvl w:val="0"/>
          <w:numId w:val="9"/>
        </w:numPr>
        <w:rPr/>
      </w:pPr>
      <w:r>
        <w:rPr/>
        <w:t>No change to the existing SITARA reporting.</w:t>
      </w:r>
    </w:p>
    <w:p>
      <w:pPr>
        <w:pStyle w:val="Normal"/>
        <w:rPr/>
      </w:pPr>
      <w:r>
        <w:rPr/>
      </w:r>
    </w:p>
    <w:p>
      <w:pPr>
        <w:pStyle w:val="Heading3"/>
        <w:rPr/>
      </w:pPr>
      <w:r>
        <w:rPr/>
      </w:r>
    </w:p>
    <w:p>
      <w:pPr>
        <w:pStyle w:val="Heading1"/>
        <w:rPr/>
      </w:pPr>
      <w:r>
        <w:rPr/>
      </w:r>
      <w:r>
        <w:br w:type="page"/>
      </w:r>
    </w:p>
    <w:p>
      <w:pPr>
        <w:pStyle w:val="Heading1"/>
        <w:rPr/>
      </w:pPr>
      <w:bookmarkStart w:id="16" w:name="__RefHeading___Toc526138709"/>
      <w:bookmarkEnd w:id="16"/>
      <w:r>
        <w:rPr/>
        <w:t>VI.  Benefits</w:t>
      </w:r>
    </w:p>
    <w:p>
      <w:pPr>
        <w:pStyle w:val="Heading2"/>
        <w:ind w:hanging="0" w:start="0"/>
        <w:rPr/>
      </w:pPr>
      <w:bookmarkStart w:id="17" w:name="__RefHeading___Toc526138710"/>
      <w:bookmarkEnd w:id="17"/>
      <w:r>
        <w:rPr/>
        <w:t>Business  Benefits</w:t>
      </w:r>
    </w:p>
    <w:p>
      <w:pPr>
        <w:pStyle w:val="Normal"/>
        <w:numPr>
          <w:ilvl w:val="0"/>
          <w:numId w:val="11"/>
        </w:numPr>
        <w:rPr/>
      </w:pPr>
      <w:r>
        <w:rPr/>
        <w:t>A separation in the business process between physical gas trading and financial hedging.</w:t>
      </w:r>
    </w:p>
    <w:p>
      <w:pPr>
        <w:pStyle w:val="Normal"/>
        <w:numPr>
          <w:ilvl w:val="0"/>
          <w:numId w:val="11"/>
        </w:numPr>
        <w:rPr/>
      </w:pPr>
      <w:r>
        <w:rPr/>
        <w:t>Elimination of big dollar cost when deal entries are misrepresented or simply missed in one of the systems.</w:t>
      </w:r>
    </w:p>
    <w:p>
      <w:pPr>
        <w:pStyle w:val="Normal"/>
        <w:numPr>
          <w:ilvl w:val="0"/>
          <w:numId w:val="11"/>
        </w:numPr>
        <w:rPr/>
      </w:pPr>
      <w:r>
        <w:rPr/>
        <w:t>Elimination of dollar cost with dual manual entries for gas trades in both SITARA and TAGG.</w:t>
      </w:r>
    </w:p>
    <w:p>
      <w:pPr>
        <w:pStyle w:val="Normal"/>
        <w:numPr>
          <w:ilvl w:val="0"/>
          <w:numId w:val="11"/>
        </w:numPr>
        <w:rPr/>
      </w:pPr>
      <w:r>
        <w:rPr/>
        <w:t xml:space="preserve">No more reconciliation between SITARA and TAGG. </w:t>
      </w:r>
    </w:p>
    <w:p>
      <w:pPr>
        <w:pStyle w:val="Normal"/>
        <w:numPr>
          <w:ilvl w:val="0"/>
          <w:numId w:val="11"/>
        </w:numPr>
        <w:rPr/>
      </w:pPr>
      <w:r>
        <w:rPr/>
        <w:t>Real time or close to real-time valuation engine.</w:t>
      </w:r>
    </w:p>
    <w:p>
      <w:pPr>
        <w:pStyle w:val="Normal"/>
        <w:numPr>
          <w:ilvl w:val="0"/>
          <w:numId w:val="11"/>
        </w:numPr>
        <w:rPr/>
      </w:pPr>
      <w:r>
        <w:rPr/>
        <w:t>A new gas valuation using latest technology.</w:t>
      </w:r>
    </w:p>
    <w:p>
      <w:pPr>
        <w:pStyle w:val="Normal"/>
        <w:numPr>
          <w:ilvl w:val="0"/>
          <w:numId w:val="11"/>
        </w:numPr>
        <w:rPr/>
      </w:pPr>
      <w:r>
        <w:rPr>
          <w:color w:val="000000"/>
        </w:rPr>
        <w:t>Better data feeds to all downstream systems.</w:t>
      </w:r>
    </w:p>
    <w:p>
      <w:pPr>
        <w:pStyle w:val="Normal"/>
        <w:numPr>
          <w:ilvl w:val="0"/>
          <w:numId w:val="11"/>
        </w:numPr>
        <w:rPr/>
      </w:pPr>
      <w:r>
        <w:rPr/>
        <w:t>Retirement of CPR physical gas valuation and reporting with limited functionality.</w:t>
      </w:r>
    </w:p>
    <w:p>
      <w:pPr>
        <w:pStyle w:val="Normal"/>
        <w:numPr>
          <w:ilvl w:val="1"/>
          <w:numId w:val="11"/>
        </w:numPr>
        <w:rPr>
          <w:color w:val="000000"/>
        </w:rPr>
      </w:pPr>
      <w:r>
        <w:rPr>
          <w:color w:val="000000"/>
        </w:rPr>
        <w:t>CPR deals get booked to a mid curve, not necessarily the curve used in TAGG.</w:t>
      </w:r>
    </w:p>
    <w:p>
      <w:pPr>
        <w:pStyle w:val="Normal"/>
        <w:numPr>
          <w:ilvl w:val="1"/>
          <w:numId w:val="11"/>
        </w:numPr>
        <w:rPr>
          <w:color w:val="000000"/>
        </w:rPr>
      </w:pPr>
      <w:r>
        <w:rPr>
          <w:color w:val="000000"/>
        </w:rPr>
        <w:t>CPR can only reflect over delivery with no under delivery valuation effect.</w:t>
      </w:r>
    </w:p>
    <w:p>
      <w:pPr>
        <w:pStyle w:val="Normal"/>
        <w:numPr>
          <w:ilvl w:val="1"/>
          <w:numId w:val="11"/>
        </w:numPr>
        <w:rPr>
          <w:color w:val="000000"/>
        </w:rPr>
      </w:pPr>
      <w:r>
        <w:rPr>
          <w:color w:val="000000"/>
        </w:rPr>
        <w:t>Addition of value pricing and volume optionality is not available in CPR.</w:t>
      </w:r>
    </w:p>
    <w:p>
      <w:pPr>
        <w:pStyle w:val="Normal"/>
        <w:ind w:start="1080" w:end="0"/>
        <w:rPr>
          <w:color w:val="000000"/>
        </w:rPr>
      </w:pPr>
      <w:r>
        <w:rPr>
          <w:color w:val="000000"/>
        </w:rPr>
      </w:r>
    </w:p>
    <w:p>
      <w:pPr>
        <w:pStyle w:val="Heading2"/>
        <w:ind w:hanging="0" w:start="0"/>
        <w:rPr/>
      </w:pPr>
      <w:bookmarkStart w:id="18" w:name="__RefHeading___Toc526138711"/>
      <w:bookmarkEnd w:id="18"/>
      <w:r>
        <w:rPr/>
        <w:t>Technical Benefits</w:t>
      </w:r>
    </w:p>
    <w:p>
      <w:pPr>
        <w:pStyle w:val="Normal"/>
        <w:numPr>
          <w:ilvl w:val="0"/>
          <w:numId w:val="11"/>
        </w:numPr>
        <w:rPr/>
      </w:pPr>
      <w:r>
        <w:rPr/>
        <w:t xml:space="preserve">One single database repository for gas physical and financial deals in the future. </w:t>
      </w:r>
    </w:p>
    <w:p>
      <w:pPr>
        <w:pStyle w:val="BodyTextIndent2"/>
        <w:rPr/>
      </w:pPr>
      <w:r>
        <w:rPr/>
        <w:t>That means doing away with multiple databases in multiple systems, multiple bridges and processes to interface and feed each other, ie. between SITARA and TAGG, CPR and ERMS, SITARA and CPR.</w:t>
      </w:r>
    </w:p>
    <w:p>
      <w:pPr>
        <w:pStyle w:val="BodyTextIndent2"/>
        <w:numPr>
          <w:ilvl w:val="0"/>
          <w:numId w:val="11"/>
        </w:numPr>
        <w:rPr/>
      </w:pPr>
      <w:r>
        <w:rPr/>
        <w:t>The schema redesign for gas deals will allow the capture of both physical and financial deals that can be readable by any process.  They will be easily transferred to other systems.</w:t>
      </w:r>
    </w:p>
    <w:p>
      <w:pPr>
        <w:pStyle w:val="Normal"/>
        <w:numPr>
          <w:ilvl w:val="0"/>
          <w:numId w:val="15"/>
        </w:numPr>
        <w:rPr/>
      </w:pPr>
      <w:r>
        <w:rPr/>
        <w:t>A true n-tier architecture to separate business logic from application logic. That means, in the future, the business logic will not have to be rehashed and rewritten with new technology changes.</w:t>
      </w:r>
    </w:p>
    <w:p>
      <w:pPr>
        <w:pStyle w:val="Normal"/>
        <w:numPr>
          <w:ilvl w:val="0"/>
          <w:numId w:val="22"/>
        </w:numPr>
        <w:rPr/>
      </w:pPr>
      <w:r>
        <w:rPr/>
        <w:t>New well-supported, mainstream technology tool set with supported industry standard.</w:t>
      </w:r>
    </w:p>
    <w:p>
      <w:pPr>
        <w:pStyle w:val="Normal"/>
        <w:numPr>
          <w:ilvl w:val="0"/>
          <w:numId w:val="22"/>
        </w:numPr>
        <w:rPr>
          <w:color w:val="000000"/>
        </w:rPr>
      </w:pPr>
      <w:r>
        <w:rPr>
          <w:color w:val="000000"/>
        </w:rPr>
        <w:t>Communications between the applications will utilize a middle tier communications layer.  This will make for standardized and replicable communications interfaces.</w:t>
      </w:r>
    </w:p>
    <w:p>
      <w:pPr>
        <w:pStyle w:val="Normal"/>
        <w:numPr>
          <w:ilvl w:val="0"/>
          <w:numId w:val="22"/>
        </w:numPr>
        <w:rPr>
          <w:color w:val="000000"/>
        </w:rPr>
      </w:pPr>
      <w:r>
        <w:rPr>
          <w:color w:val="000000"/>
        </w:rPr>
        <w:t>Newer technologies and designs will be more scalable and stable. That means easy implementation of future modifications.</w:t>
      </w:r>
    </w:p>
    <w:p>
      <w:pPr>
        <w:pStyle w:val="Normal"/>
        <w:numPr>
          <w:ilvl w:val="0"/>
          <w:numId w:val="22"/>
        </w:numPr>
        <w:rPr/>
      </w:pPr>
      <w:r>
        <w:rPr>
          <w:color w:val="000000"/>
        </w:rPr>
        <w:t>Reduction of system complexity.</w:t>
      </w:r>
    </w:p>
    <w:p>
      <w:pPr>
        <w:pStyle w:val="Normal"/>
        <w:numPr>
          <w:ilvl w:val="0"/>
          <w:numId w:val="22"/>
        </w:numPr>
        <w:rPr/>
      </w:pPr>
      <w:r>
        <w:rPr>
          <w:color w:val="000000"/>
        </w:rPr>
        <w:t>Reduced maintenance and enhancement costs.</w:t>
      </w:r>
    </w:p>
    <w:p>
      <w:pPr>
        <w:pStyle w:val="Normal"/>
        <w:numPr>
          <w:ilvl w:val="0"/>
          <w:numId w:val="23"/>
        </w:numPr>
        <w:rPr>
          <w:color w:val="000000"/>
        </w:rPr>
      </w:pPr>
      <w:r>
        <w:rPr>
          <w:color w:val="000000"/>
        </w:rPr>
        <w:t>Easier acquisition of resources with necessary skills using mainstream technologies.</w:t>
      </w:r>
    </w:p>
    <w:p>
      <w:pPr>
        <w:pStyle w:val="Normal"/>
        <w:numPr>
          <w:ilvl w:val="0"/>
          <w:numId w:val="23"/>
        </w:numPr>
        <w:rPr>
          <w:color w:val="000000"/>
        </w:rPr>
      </w:pPr>
      <w:r>
        <w:rPr>
          <w:color w:val="000000"/>
        </w:rPr>
        <w:t>A smaller subset of technologies (reducing the number of development languages for the various application layers from fourteen to as low as six) will allow resources to be re-deployable and cross-trainable.</w:t>
      </w:r>
      <w:r>
        <w:br w:type="page"/>
      </w:r>
    </w:p>
    <w:p>
      <w:pPr>
        <w:pStyle w:val="Heading1"/>
        <w:rPr/>
      </w:pPr>
      <w:bookmarkStart w:id="19" w:name="__RefHeading___Toc526138712"/>
      <w:bookmarkEnd w:id="19"/>
      <w:r>
        <w:rPr/>
        <w:t>VII. Risks</w:t>
      </w:r>
    </w:p>
    <w:p>
      <w:pPr>
        <w:pStyle w:val="Normal"/>
        <w:rPr/>
      </w:pPr>
      <w:r>
        <w:rPr/>
        <w:t xml:space="preserve">The following is a list of common risk factors that were identified by the management team during a preliminary risk assessment.  </w:t>
      </w:r>
    </w:p>
    <w:p>
      <w:pPr>
        <w:pStyle w:val="Normal"/>
        <w:numPr>
          <w:ilvl w:val="0"/>
          <w:numId w:val="21"/>
        </w:numPr>
        <w:rPr/>
      </w:pPr>
      <w:r>
        <w:rPr/>
        <w:t>Requirements Risks.</w:t>
      </w:r>
    </w:p>
    <w:p>
      <w:pPr>
        <w:pStyle w:val="Normal"/>
        <w:numPr>
          <w:ilvl w:val="0"/>
          <w:numId w:val="21"/>
        </w:numPr>
        <w:rPr/>
      </w:pPr>
      <w:r>
        <w:rPr/>
        <w:t>Interface Risks.</w:t>
      </w:r>
    </w:p>
    <w:p>
      <w:pPr>
        <w:pStyle w:val="Normal"/>
        <w:numPr>
          <w:ilvl w:val="0"/>
          <w:numId w:val="21"/>
        </w:numPr>
        <w:rPr/>
      </w:pPr>
      <w:r>
        <w:rPr/>
        <w:t>New Technology Risks.</w:t>
      </w:r>
    </w:p>
    <w:p>
      <w:pPr>
        <w:pStyle w:val="Normal"/>
        <w:numPr>
          <w:ilvl w:val="0"/>
          <w:numId w:val="21"/>
        </w:numPr>
        <w:rPr/>
      </w:pPr>
      <w:r>
        <w:rPr/>
        <w:t>Personnel Risks.</w:t>
      </w:r>
    </w:p>
    <w:p>
      <w:pPr>
        <w:pStyle w:val="Normal"/>
        <w:numPr>
          <w:ilvl w:val="0"/>
          <w:numId w:val="21"/>
        </w:numPr>
        <w:rPr/>
      </w:pPr>
      <w:r>
        <w:rPr/>
        <w:t>Schedule Risks.</w:t>
      </w:r>
    </w:p>
    <w:p>
      <w:pPr>
        <w:pStyle w:val="FootnoteText"/>
        <w:rPr/>
      </w:pPr>
      <w:r>
        <w:rPr/>
      </w:r>
    </w:p>
    <w:p>
      <w:pPr>
        <w:pStyle w:val="FootnoteText"/>
        <w:rPr/>
      </w:pPr>
      <w:r>
        <w:rPr/>
      </w:r>
    </w:p>
    <w:p>
      <w:pPr>
        <w:pStyle w:val="Heading2"/>
        <w:ind w:hanging="0" w:start="0"/>
        <w:rPr/>
      </w:pPr>
      <w:bookmarkStart w:id="20" w:name="__RefHeading___Toc526138713"/>
      <w:bookmarkEnd w:id="20"/>
      <w:r>
        <w:rPr/>
        <w:t>Requirements Risks</w:t>
      </w:r>
    </w:p>
    <w:p>
      <w:pPr>
        <w:pStyle w:val="Normal"/>
        <w:numPr>
          <w:ilvl w:val="0"/>
          <w:numId w:val="14"/>
        </w:numPr>
        <w:rPr/>
      </w:pPr>
      <w:r>
        <w:rPr/>
        <w:t>There is a small risk that the requirements gathering process is not sufficient to uncover all the user requirements prior to initial product delivery. However, this risk is mitigated by the fact that the participants have delivered gas deal valuation functionality for all deal types in the past, and by the presence of commodity domain experts on the project team.</w:t>
      </w:r>
    </w:p>
    <w:p>
      <w:pPr>
        <w:pStyle w:val="Normal"/>
        <w:rPr/>
      </w:pPr>
      <w:r>
        <w:rPr/>
      </w:r>
    </w:p>
    <w:p>
      <w:pPr>
        <w:pStyle w:val="Normal"/>
        <w:numPr>
          <w:ilvl w:val="0"/>
          <w:numId w:val="14"/>
        </w:numPr>
        <w:rPr/>
      </w:pPr>
      <w:r>
        <w:rPr/>
        <w:t xml:space="preserve">Another risk is that the project team does not discover the information or algorithms necessary to decompose the deal properly for valuation, or implements an approach which provides the wrong values (in comparison to the processes currently in place). Because the current gas valuation is a well-known process, and because the members of the team have constructed a valuation framework before, this is not likely to be a large risk. </w:t>
      </w:r>
    </w:p>
    <w:p>
      <w:pPr>
        <w:pStyle w:val="Normal"/>
        <w:rPr/>
      </w:pPr>
      <w:r>
        <w:rPr/>
      </w:r>
    </w:p>
    <w:p>
      <w:pPr>
        <w:pStyle w:val="Normal"/>
        <w:numPr>
          <w:ilvl w:val="0"/>
          <w:numId w:val="14"/>
        </w:numPr>
        <w:rPr/>
      </w:pPr>
      <w:r>
        <w:rPr/>
        <w:t>Another risk is that the project team does not anticipate all necessary requirements for the mid-tier rewrite sub-project. This risk can be mitigated by the time frame provided for this larger sub-project and by the iterative approach to address and mitigate this risk.</w:t>
      </w:r>
    </w:p>
    <w:p>
      <w:pPr>
        <w:pStyle w:val="Normal"/>
        <w:rPr/>
      </w:pPr>
      <w:r>
        <w:rPr/>
      </w:r>
    </w:p>
    <w:p>
      <w:pPr>
        <w:pStyle w:val="Heading2"/>
        <w:ind w:hanging="0" w:start="0"/>
        <w:rPr/>
      </w:pPr>
      <w:bookmarkStart w:id="21" w:name="__RefHeading___Toc526138714"/>
      <w:bookmarkEnd w:id="21"/>
      <w:r>
        <w:rPr/>
        <w:t>Interface Risks</w:t>
      </w:r>
    </w:p>
    <w:p>
      <w:pPr>
        <w:pStyle w:val="Normal"/>
        <w:rPr/>
      </w:pPr>
      <w:r>
        <w:rPr/>
      </w:r>
    </w:p>
    <w:p>
      <w:pPr>
        <w:pStyle w:val="Normal"/>
        <w:rPr/>
      </w:pPr>
      <w:r>
        <w:rPr/>
        <w:t>There is a risk that other IT groups who need to interface with the new gas valuation and mid-tier rewrite will be unavailable to work with the project team to negotiate interface specifications, communicate requirements, or deliver needed functionality. The teams providing the interfaces to the mid-tier rewrite will be the most critical; teams consuming valuation information provided by the new gas valuation are only incrementally less so. The management of the project team needs to identify and resolve such issues at the appropriate management level as soon as they are identified.</w:t>
      </w:r>
    </w:p>
    <w:p>
      <w:pPr>
        <w:pStyle w:val="Normal"/>
        <w:rPr/>
      </w:pPr>
      <w:r>
        <w:rPr/>
      </w:r>
    </w:p>
    <w:p>
      <w:pPr>
        <w:pStyle w:val="Normal"/>
        <w:rPr/>
      </w:pPr>
      <w:r>
        <w:rPr/>
      </w:r>
    </w:p>
    <w:p>
      <w:pPr>
        <w:pStyle w:val="Heading2"/>
        <w:ind w:hanging="0" w:start="0"/>
        <w:rPr/>
      </w:pPr>
      <w:bookmarkStart w:id="22" w:name="__RefHeading___Toc526138715"/>
      <w:bookmarkEnd w:id="22"/>
      <w:r>
        <w:rPr/>
        <w:t>Technical Risks</w:t>
      </w:r>
    </w:p>
    <w:p>
      <w:pPr>
        <w:pStyle w:val="Normal"/>
        <w:rPr/>
      </w:pPr>
      <w:r>
        <w:rPr/>
      </w:r>
    </w:p>
    <w:p>
      <w:pPr>
        <w:pStyle w:val="Normal"/>
        <w:rPr/>
      </w:pPr>
      <w:r>
        <w:rPr/>
        <w:t xml:space="preserve">There is the possibility that the new technology and products chosen for the construction phase of the project are difficult to implement. </w:t>
      </w:r>
    </w:p>
    <w:p>
      <w:pPr>
        <w:pStyle w:val="Normal"/>
        <w:numPr>
          <w:ilvl w:val="0"/>
          <w:numId w:val="16"/>
        </w:numPr>
        <w:rPr/>
      </w:pPr>
      <w:r>
        <w:rPr/>
        <w:t>Since the gas valuation will be using the components of the Global Valuation Framework, some of these technical risks have been already dealt with during the development of the framework.</w:t>
      </w:r>
    </w:p>
    <w:p>
      <w:pPr>
        <w:pStyle w:val="Normal"/>
        <w:numPr>
          <w:ilvl w:val="0"/>
          <w:numId w:val="16"/>
        </w:numPr>
        <w:rPr/>
      </w:pPr>
      <w:r>
        <w:rPr/>
        <w:t>The technical decision for the gas mid-tier rewrite project involves the joint expertise of our IT system architects together with the application developers, and a pilot development effort to mitigate the risk.</w:t>
      </w:r>
    </w:p>
    <w:p>
      <w:pPr>
        <w:pStyle w:val="Normal"/>
        <w:rPr/>
      </w:pPr>
      <w:r>
        <w:rPr/>
      </w:r>
    </w:p>
    <w:p>
      <w:pPr>
        <w:pStyle w:val="Heading2"/>
        <w:ind w:hanging="0" w:start="0"/>
        <w:rPr/>
      </w:pPr>
      <w:bookmarkStart w:id="23" w:name="__RefHeading___Toc526138716"/>
      <w:bookmarkEnd w:id="23"/>
      <w:r>
        <w:rPr/>
        <w:t>Personnel Risks</w:t>
      </w:r>
    </w:p>
    <w:p>
      <w:pPr>
        <w:pStyle w:val="Normal"/>
        <w:rPr/>
      </w:pPr>
      <w:r>
        <w:rPr/>
      </w:r>
    </w:p>
    <w:p>
      <w:pPr>
        <w:pStyle w:val="Normal"/>
        <w:numPr>
          <w:ilvl w:val="0"/>
          <w:numId w:val="17"/>
        </w:numPr>
        <w:rPr/>
      </w:pPr>
      <w:r>
        <w:rPr/>
        <w:t>The first personnel risk reflects the possibility that the implementation technology chosen may not fit the skill strengths of the individual team members. Team cross-training together with technical skill training have been planned as part of the necessary preparation for construction and delivery such as courses on Object Oriented Design with Patterns, Web Logic technology... Also the team members include key individuals who have been developing the Valuation Framework, the gas capture and valuation systems.</w:t>
      </w:r>
    </w:p>
    <w:p>
      <w:pPr>
        <w:pStyle w:val="Normal"/>
        <w:rPr/>
      </w:pPr>
      <w:r>
        <w:rPr/>
      </w:r>
    </w:p>
    <w:p>
      <w:pPr>
        <w:pStyle w:val="Normal"/>
        <w:numPr>
          <w:ilvl w:val="0"/>
          <w:numId w:val="17"/>
        </w:numPr>
        <w:rPr/>
      </w:pPr>
      <w:r>
        <w:rPr/>
        <w:t>The second personnel risk comes from the level of commitment team members can make to the project. In the Enron IT group, it is the norm that individuals are committed to multiple projects at once, most typically making the transition from one project to another. Project management should take steps to insure that such team members begin the transition to full-time participation as soon as possible, with the goal that all critical members be committed full-time by the beginning of construction.</w:t>
      </w:r>
    </w:p>
    <w:p>
      <w:pPr>
        <w:pStyle w:val="Normal"/>
        <w:rPr/>
      </w:pPr>
      <w:r>
        <w:rPr/>
      </w:r>
    </w:p>
    <w:p>
      <w:pPr>
        <w:pStyle w:val="Normal"/>
        <w:numPr>
          <w:ilvl w:val="0"/>
          <w:numId w:val="17"/>
        </w:numPr>
        <w:rPr/>
      </w:pPr>
      <w:r>
        <w:rPr/>
        <w:t xml:space="preserve">Finally, a significant risk may develop from the possibility that the project team may lose members entirely to other projects or other companies. This risk is difficult to mitigate and requires attention to personnel management. </w:t>
      </w:r>
    </w:p>
    <w:p>
      <w:pPr>
        <w:pStyle w:val="Normal"/>
        <w:rPr/>
      </w:pPr>
      <w:r>
        <w:rPr/>
      </w:r>
    </w:p>
    <w:p>
      <w:pPr>
        <w:pStyle w:val="Heading2"/>
        <w:ind w:hanging="0" w:start="0"/>
        <w:rPr/>
      </w:pPr>
      <w:bookmarkStart w:id="24" w:name="__RefHeading___Toc526138717"/>
      <w:bookmarkEnd w:id="24"/>
      <w:r>
        <w:rPr/>
        <w:t>Schedule Risks</w:t>
      </w:r>
    </w:p>
    <w:p>
      <w:pPr>
        <w:pStyle w:val="Normal"/>
        <w:numPr>
          <w:ilvl w:val="0"/>
          <w:numId w:val="4"/>
        </w:numPr>
        <w:rPr/>
      </w:pPr>
      <w:r>
        <w:rPr/>
        <w:t>There is a schedule risk as the gas valuation sub-project and the gas mid-tier rewrite sub-project both depend on the completion of the database schema redesign implementation. If the database work was not completed on time, that would cause a dependency risk in the project schedule. We believe that this risk is not going to materialize since good progress has been made along the database design project, and we are nearing a complete schema implementation.</w:t>
      </w:r>
    </w:p>
    <w:p>
      <w:pPr>
        <w:pStyle w:val="Normal"/>
        <w:numPr>
          <w:ilvl w:val="0"/>
          <w:numId w:val="4"/>
        </w:numPr>
        <w:rPr/>
      </w:pPr>
      <w:r>
        <w:rPr/>
        <w:t xml:space="preserve">Another schedule risk exists if there is change of specifications in a late phase of the project. Management would have to address this risk by reassigning priorities and reassigning targets of implementation phases if such changes come up. </w:t>
      </w:r>
      <w:r>
        <w:br w:type="page"/>
      </w:r>
    </w:p>
    <w:p>
      <w:pPr>
        <w:pStyle w:val="Heading1"/>
        <w:numPr>
          <w:ilvl w:val="0"/>
          <w:numId w:val="12"/>
        </w:numPr>
        <w:rPr/>
      </w:pPr>
      <w:bookmarkStart w:id="25" w:name="__RefHeading___Toc526138718"/>
      <w:bookmarkEnd w:id="25"/>
      <w:r>
        <w:rPr/>
        <w:t>Assumptions</w:t>
      </w:r>
    </w:p>
    <w:p>
      <w:pPr>
        <w:pStyle w:val="Normal"/>
        <w:rPr/>
      </w:pPr>
      <w:r>
        <w:rPr/>
      </w:r>
    </w:p>
    <w:p>
      <w:pPr>
        <w:pStyle w:val="Normal"/>
        <w:numPr>
          <w:ilvl w:val="0"/>
          <w:numId w:val="23"/>
        </w:numPr>
        <w:rPr/>
      </w:pPr>
      <w:r>
        <w:rPr/>
        <w:t>Limited amount of work will be required for the presentation layer.</w:t>
      </w:r>
    </w:p>
    <w:p>
      <w:pPr>
        <w:pStyle w:val="Heading1"/>
        <w:rPr/>
      </w:pPr>
      <w:r>
        <w:rPr/>
      </w:r>
    </w:p>
    <w:p>
      <w:pPr>
        <w:pStyle w:val="Heading1"/>
        <w:numPr>
          <w:ilvl w:val="0"/>
          <w:numId w:val="12"/>
        </w:numPr>
        <w:rPr/>
      </w:pPr>
      <w:bookmarkStart w:id="26" w:name="__RefHeading___Toc526138719"/>
      <w:bookmarkEnd w:id="26"/>
      <w:r>
        <w:rPr/>
        <w:t>Constraints</w:t>
      </w:r>
    </w:p>
    <w:p>
      <w:pPr>
        <w:pStyle w:val="Normal"/>
        <w:ind w:start="360" w:end="0"/>
        <w:rPr/>
      </w:pPr>
      <w:r>
        <w:rPr/>
      </w:r>
    </w:p>
    <w:p>
      <w:pPr>
        <w:pStyle w:val="Normal"/>
        <w:numPr>
          <w:ilvl w:val="0"/>
          <w:numId w:val="23"/>
        </w:numPr>
        <w:rPr/>
      </w:pPr>
      <w:r>
        <w:rPr/>
        <w:t>Gas valuation may depend on the functionalities of the components of the Global Valuation Framework.</w:t>
      </w:r>
    </w:p>
    <w:p>
      <w:pPr>
        <w:pStyle w:val="Normal"/>
        <w:numPr>
          <w:ilvl w:val="0"/>
          <w:numId w:val="23"/>
        </w:numPr>
        <w:rPr/>
      </w:pPr>
      <w:r>
        <w:rPr/>
        <w:t>The Consolidated Gas System project cannot impact existing system maintenance, production support, modifications and enhancement efforts currently being developed.</w:t>
      </w:r>
    </w:p>
    <w:p>
      <w:pPr>
        <w:pStyle w:val="Normal"/>
        <w:numPr>
          <w:ilvl w:val="0"/>
          <w:numId w:val="23"/>
        </w:numPr>
        <w:rPr/>
      </w:pPr>
      <w:r>
        <w:rPr/>
        <w:t>Existence of the current systems that interact with the gas systems may impose design constraints on the proposed solution and must be considered in the analysis and design.</w:t>
      </w:r>
    </w:p>
    <w:p>
      <w:pPr>
        <w:pStyle w:val="Normal"/>
        <w:numPr>
          <w:ilvl w:val="0"/>
          <w:numId w:val="23"/>
        </w:numPr>
        <w:rPr/>
      </w:pPr>
      <w:r>
        <w:rPr/>
        <w:t>Significant system knowledge has to be made available during the design phase by certain key individuals.</w:t>
      </w:r>
      <w:r>
        <w:br w:type="page"/>
      </w:r>
    </w:p>
    <w:p>
      <w:pPr>
        <w:pStyle w:val="Heading1"/>
        <w:rPr/>
      </w:pPr>
      <w:bookmarkStart w:id="27" w:name="__RefHeading___Toc526138720"/>
      <w:bookmarkEnd w:id="27"/>
      <w:r>
        <w:rPr/>
        <w:t>X.  Alternatives Considered</w:t>
      </w:r>
    </w:p>
    <w:p>
      <w:pPr>
        <w:pStyle w:val="Normal"/>
        <w:rPr/>
      </w:pPr>
      <w:r>
        <w:rPr/>
      </w:r>
    </w:p>
    <w:p>
      <w:pPr>
        <w:pStyle w:val="Normal"/>
        <w:rPr/>
      </w:pPr>
      <w:r>
        <w:rPr/>
        <w:t>During initial project planning several approaches to implementing system changes were discussed, including:</w:t>
      </w:r>
    </w:p>
    <w:p>
      <w:pPr>
        <w:pStyle w:val="Normal"/>
        <w:numPr>
          <w:ilvl w:val="0"/>
          <w:numId w:val="23"/>
        </w:numPr>
        <w:rPr/>
      </w:pPr>
      <w:r>
        <w:rPr/>
        <w:t>Freezing all systems and re-writing gas front office over the next two to three years.</w:t>
      </w:r>
    </w:p>
    <w:p>
      <w:pPr>
        <w:pStyle w:val="Normal"/>
        <w:numPr>
          <w:ilvl w:val="0"/>
          <w:numId w:val="23"/>
        </w:numPr>
        <w:rPr/>
      </w:pPr>
      <w:r>
        <w:rPr/>
        <w:t>Continuing to "band-aid" systems day to day.</w:t>
      </w:r>
    </w:p>
    <w:p>
      <w:pPr>
        <w:pStyle w:val="Normal"/>
        <w:numPr>
          <w:ilvl w:val="0"/>
          <w:numId w:val="23"/>
        </w:numPr>
        <w:rPr/>
      </w:pPr>
      <w:r>
        <w:rPr/>
        <w:t>Incremental re-write of modules based on risk, cost, and value of revision.</w:t>
      </w:r>
    </w:p>
    <w:p>
      <w:pPr>
        <w:pStyle w:val="Normal"/>
        <w:rPr/>
      </w:pPr>
      <w:r>
        <w:rPr/>
        <w:t>The first option was dismissed because it is an impractical approach.  The second was dismissed because it did not address long-term viability.  The third alternative was selected because it provides the business community with tangible benefits earlier in the project life cycle than the other alternatives.</w:t>
      </w:r>
    </w:p>
    <w:p>
      <w:pPr>
        <w:pStyle w:val="Normal"/>
        <w:rPr/>
      </w:pPr>
      <w:r>
        <w:rPr/>
      </w:r>
    </w:p>
    <w:p>
      <w:pPr>
        <w:pStyle w:val="Normal"/>
        <w:rPr/>
      </w:pPr>
      <w:r>
        <w:rPr/>
      </w:r>
      <w:r>
        <w:br w:type="page"/>
      </w:r>
    </w:p>
    <w:p>
      <w:pPr>
        <w:pStyle w:val="Heading1"/>
        <w:rPr/>
      </w:pPr>
      <w:bookmarkStart w:id="28" w:name="__RefHeading___Toc526138721"/>
      <w:bookmarkEnd w:id="28"/>
      <w:r>
        <w:rPr/>
        <w:t>XI.  Project Structure</w:t>
      </w:r>
    </w:p>
    <w:p>
      <w:pPr>
        <w:pStyle w:val="Normal"/>
        <w:rPr/>
      </w:pPr>
      <w:r>
        <w:rPr/>
      </w:r>
    </w:p>
    <w:p>
      <w:pPr>
        <w:pStyle w:val="Normal"/>
        <w:rPr/>
      </w:pPr>
      <w:r>
        <w:rPr/>
        <w:t>Following a database backend schema redesign, the project will be broken down into two sub-projects: a strategic mid-tier rewrite for physical gas project, and a gas valuation project.</w:t>
      </w:r>
    </w:p>
    <w:p>
      <w:pPr>
        <w:pStyle w:val="Normal"/>
        <w:rPr/>
      </w:pPr>
      <w:r>
        <w:rPr/>
      </w:r>
    </w:p>
    <w:p>
      <w:pPr>
        <w:pStyle w:val="Normal"/>
        <w:rPr/>
      </w:pPr>
      <w:r>
        <w:rPr/>
        <w:t>Both projects will be using an iterative approach to design, develop, test component objects in iterations during the entire development lifecycle. These modularized components will be independent and loosely coupled as much as possible for the reusability, scability, and ease of enhancement and maintenance vision.</w:t>
      </w:r>
    </w:p>
    <w:p>
      <w:pPr>
        <w:pStyle w:val="Normal"/>
        <w:rPr/>
      </w:pPr>
      <w:r>
        <w:rPr/>
      </w:r>
    </w:p>
    <w:p>
      <w:pPr>
        <w:pStyle w:val="Normal"/>
        <w:rPr/>
      </w:pPr>
      <w:r>
        <w:rPr/>
        <w:t>A project framework will be set up in LiveLink for the gas valuation and gas mid-tier rewrite sub-projects as a common forum for all team members to access and participate. Also a common network directory is set up on the O:\drive as document repository for each of the two sub-project teams.</w:t>
      </w:r>
    </w:p>
    <w:p>
      <w:pPr>
        <w:pStyle w:val="Normal"/>
        <w:rPr/>
      </w:pPr>
      <w:r>
        <w:rPr/>
      </w:r>
    </w:p>
    <w:p>
      <w:pPr>
        <w:pStyle w:val="Normal"/>
        <w:rPr/>
      </w:pPr>
      <w:r>
        <w:rPr/>
        <w:t>During the initial stage (inception phase) of the project, daily 2-hour team meetings are scheduled to bring all design, issues, knowledge-sharing to the team discussions. The frequency of these meetings will phase out as the teams enter into the later part of the elaboration phase and the construction phase.</w:t>
      </w:r>
    </w:p>
    <w:p>
      <w:pPr>
        <w:pStyle w:val="Normal"/>
        <w:rPr/>
      </w:pPr>
      <w:r>
        <w:rPr/>
      </w:r>
    </w:p>
    <w:p>
      <w:pPr>
        <w:pStyle w:val="Normal"/>
        <w:rPr/>
      </w:pPr>
      <w:r>
        <w:rPr/>
        <w:t>The project development team members will consist of a joint effort among key developers of the current gas capture and valuation systems together with members of the System Architecture, Data Architecture, Business Analyst and Database groups.</w:t>
      </w:r>
    </w:p>
    <w:p>
      <w:pPr>
        <w:pStyle w:val="Normal"/>
        <w:rPr/>
      </w:pPr>
      <w:r>
        <w:rPr/>
      </w:r>
      <w:r>
        <w:br w:type="page"/>
      </w:r>
    </w:p>
    <w:p>
      <w:pPr>
        <w:pStyle w:val="Heading1"/>
        <w:rPr/>
      </w:pPr>
      <w:bookmarkStart w:id="29" w:name="__RefHeading___Toc526138722"/>
      <w:bookmarkEnd w:id="29"/>
      <w:r>
        <w:rPr/>
        <w:t>XII.  Resources / Timeline</w:t>
      </w:r>
    </w:p>
    <w:p>
      <w:pPr>
        <w:pStyle w:val="Normal"/>
        <w:rPr/>
      </w:pPr>
      <w:r>
        <w:rPr/>
      </w:r>
    </w:p>
    <w:p>
      <w:pPr>
        <w:pStyle w:val="Heading2"/>
        <w:ind w:hanging="0" w:start="0"/>
        <w:rPr/>
      </w:pPr>
      <w:bookmarkStart w:id="30" w:name="__RefHeading___Toc526138723"/>
      <w:bookmarkEnd w:id="30"/>
      <w:r>
        <w:rPr/>
        <w:t>Resources</w:t>
      </w:r>
    </w:p>
    <w:tbl>
      <w:tblPr>
        <w:tblW w:w="6960" w:type="dxa"/>
        <w:jc w:val="start"/>
        <w:tblInd w:w="0" w:type="dxa"/>
        <w:tblLayout w:type="fixed"/>
        <w:tblCellMar>
          <w:top w:w="0" w:type="dxa"/>
          <w:start w:w="108" w:type="dxa"/>
          <w:bottom w:w="0" w:type="dxa"/>
          <w:end w:w="108" w:type="dxa"/>
        </w:tblCellMar>
      </w:tblPr>
      <w:tblGrid>
        <w:gridCol w:w="4338"/>
        <w:gridCol w:w="2622"/>
      </w:tblGrid>
      <w:tr>
        <w:trPr/>
        <w:tc>
          <w:tcPr>
            <w:tcW w:w="433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Role</w:t>
            </w:r>
          </w:p>
        </w:tc>
        <w:tc>
          <w:tcPr>
            <w:tcW w:w="262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Resource</w:t>
            </w:r>
          </w:p>
        </w:tc>
      </w:tr>
      <w:tr>
        <w:trPr/>
        <w:tc>
          <w:tcPr>
            <w:tcW w:w="4338" w:type="dxa"/>
            <w:tcBorders>
              <w:bottom w:val="single" w:sz="4" w:space="0" w:color="808080"/>
            </w:tcBorders>
          </w:tcPr>
          <w:p>
            <w:pPr>
              <w:pStyle w:val="TextFront"/>
              <w:spacing w:before="60" w:after="60"/>
              <w:rPr/>
            </w:pPr>
            <w:r>
              <w:rPr/>
              <w:t>Gas Business Domain Experts</w:t>
            </w:r>
          </w:p>
        </w:tc>
        <w:tc>
          <w:tcPr>
            <w:tcW w:w="2622" w:type="dxa"/>
            <w:tcBorders>
              <w:bottom w:val="single" w:sz="4" w:space="0" w:color="808080"/>
            </w:tcBorders>
          </w:tcPr>
          <w:p>
            <w:pPr>
              <w:pStyle w:val="TextFront"/>
              <w:spacing w:before="60" w:after="60"/>
              <w:rPr/>
            </w:pPr>
            <w:r>
              <w:rPr/>
              <w:t>Goeffrey Storey</w:t>
            </w:r>
          </w:p>
          <w:p>
            <w:pPr>
              <w:pStyle w:val="TextFront"/>
              <w:rPr/>
            </w:pPr>
            <w:r>
              <w:rPr/>
              <w:t>Jeff Gossett</w:t>
            </w:r>
          </w:p>
          <w:p>
            <w:pPr>
              <w:pStyle w:val="TextFront"/>
              <w:rPr/>
            </w:pPr>
            <w:r>
              <w:rPr/>
              <w:t>Russ Severson</w:t>
            </w:r>
          </w:p>
          <w:p>
            <w:pPr>
              <w:pStyle w:val="TextFront"/>
              <w:spacing w:before="60" w:after="60"/>
              <w:rPr/>
            </w:pPr>
            <w:r>
              <w:rPr/>
              <w:t>George Grant</w:t>
            </w:r>
          </w:p>
        </w:tc>
      </w:tr>
      <w:tr>
        <w:trPr/>
        <w:tc>
          <w:tcPr>
            <w:tcW w:w="4338" w:type="dxa"/>
            <w:tcBorders>
              <w:bottom w:val="single" w:sz="4" w:space="0" w:color="808080"/>
            </w:tcBorders>
          </w:tcPr>
          <w:p>
            <w:pPr>
              <w:pStyle w:val="TextFront"/>
              <w:spacing w:before="60" w:after="60"/>
              <w:rPr/>
            </w:pPr>
            <w:r>
              <w:rPr/>
              <w:t xml:space="preserve">Gas Systems,    Sr. Director </w:t>
            </w:r>
          </w:p>
        </w:tc>
        <w:tc>
          <w:tcPr>
            <w:tcW w:w="2622" w:type="dxa"/>
            <w:tcBorders>
              <w:bottom w:val="single" w:sz="4" w:space="0" w:color="808080"/>
            </w:tcBorders>
          </w:tcPr>
          <w:p>
            <w:pPr>
              <w:pStyle w:val="TextFront"/>
              <w:spacing w:before="60" w:after="60"/>
              <w:rPr/>
            </w:pPr>
            <w:r>
              <w:rPr/>
              <w:t>Zhiyong Wei</w:t>
            </w:r>
          </w:p>
        </w:tc>
      </w:tr>
      <w:tr>
        <w:trPr/>
        <w:tc>
          <w:tcPr>
            <w:tcW w:w="4338" w:type="dxa"/>
            <w:tcBorders>
              <w:bottom w:val="single" w:sz="4" w:space="0" w:color="808080"/>
            </w:tcBorders>
          </w:tcPr>
          <w:p>
            <w:pPr>
              <w:pStyle w:val="TextFront"/>
              <w:spacing w:before="60" w:after="60"/>
              <w:rPr/>
            </w:pPr>
            <w:r>
              <w:rPr/>
              <w:t>Gas Strategic,  Manager</w:t>
            </w:r>
          </w:p>
        </w:tc>
        <w:tc>
          <w:tcPr>
            <w:tcW w:w="2622" w:type="dxa"/>
            <w:tcBorders>
              <w:bottom w:val="single" w:sz="4" w:space="0" w:color="808080"/>
            </w:tcBorders>
          </w:tcPr>
          <w:p>
            <w:pPr>
              <w:pStyle w:val="TextFront"/>
              <w:spacing w:before="60" w:after="60"/>
              <w:rPr/>
            </w:pPr>
            <w:r>
              <w:rPr/>
              <w:t>Jay Krish</w:t>
            </w:r>
          </w:p>
        </w:tc>
      </w:tr>
      <w:tr>
        <w:trPr/>
        <w:tc>
          <w:tcPr>
            <w:tcW w:w="4338" w:type="dxa"/>
            <w:tcBorders>
              <w:bottom w:val="single" w:sz="4" w:space="0" w:color="808080"/>
            </w:tcBorders>
          </w:tcPr>
          <w:p>
            <w:pPr>
              <w:pStyle w:val="TextFront"/>
              <w:spacing w:before="60" w:after="60"/>
              <w:rPr/>
            </w:pPr>
            <w:r>
              <w:rPr/>
              <w:t>Gas Valuation, Manager</w:t>
            </w:r>
          </w:p>
        </w:tc>
        <w:tc>
          <w:tcPr>
            <w:tcW w:w="2622" w:type="dxa"/>
            <w:tcBorders>
              <w:bottom w:val="single" w:sz="4" w:space="0" w:color="808080"/>
            </w:tcBorders>
          </w:tcPr>
          <w:p>
            <w:pPr>
              <w:pStyle w:val="TextFront"/>
              <w:spacing w:before="60" w:after="60"/>
              <w:rPr/>
            </w:pPr>
            <w:r>
              <w:rPr/>
              <w:t>Jeremy Wong</w:t>
            </w:r>
          </w:p>
        </w:tc>
      </w:tr>
      <w:tr>
        <w:trPr/>
        <w:tc>
          <w:tcPr>
            <w:tcW w:w="4338" w:type="dxa"/>
            <w:tcBorders>
              <w:top w:val="single" w:sz="4" w:space="0" w:color="808080"/>
              <w:bottom w:val="single" w:sz="4" w:space="0" w:color="808080"/>
            </w:tcBorders>
          </w:tcPr>
          <w:p>
            <w:pPr>
              <w:pStyle w:val="TextFront"/>
              <w:spacing w:before="60" w:after="60"/>
              <w:rPr/>
            </w:pPr>
            <w:r>
              <w:rPr/>
              <w:t>Gas Valuation, Technical Manager</w:t>
            </w:r>
          </w:p>
        </w:tc>
        <w:tc>
          <w:tcPr>
            <w:tcW w:w="2622" w:type="dxa"/>
            <w:tcBorders>
              <w:top w:val="single" w:sz="4" w:space="0" w:color="808080"/>
              <w:bottom w:val="single" w:sz="4" w:space="0" w:color="808080"/>
            </w:tcBorders>
          </w:tcPr>
          <w:p>
            <w:pPr>
              <w:pStyle w:val="TextFront"/>
              <w:spacing w:before="60" w:after="60"/>
              <w:rPr/>
            </w:pPr>
            <w:r>
              <w:rPr/>
              <w:t>Sean Yang</w:t>
            </w:r>
          </w:p>
        </w:tc>
      </w:tr>
      <w:tr>
        <w:trPr/>
        <w:tc>
          <w:tcPr>
            <w:tcW w:w="4338" w:type="dxa"/>
            <w:tcBorders>
              <w:top w:val="single" w:sz="4" w:space="0" w:color="808080"/>
              <w:bottom w:val="single" w:sz="4" w:space="0" w:color="808080"/>
            </w:tcBorders>
          </w:tcPr>
          <w:p>
            <w:pPr>
              <w:pStyle w:val="TextFront"/>
              <w:spacing w:before="60" w:after="60"/>
              <w:rPr/>
            </w:pPr>
            <w:r>
              <w:rPr/>
              <w:t>Project Coordinator and Business Analyst</w:t>
            </w:r>
          </w:p>
        </w:tc>
        <w:tc>
          <w:tcPr>
            <w:tcW w:w="2622" w:type="dxa"/>
            <w:tcBorders>
              <w:top w:val="single" w:sz="4" w:space="0" w:color="808080"/>
              <w:bottom w:val="single" w:sz="4" w:space="0" w:color="808080"/>
            </w:tcBorders>
          </w:tcPr>
          <w:p>
            <w:pPr>
              <w:pStyle w:val="TextFront"/>
              <w:spacing w:before="60" w:after="60"/>
              <w:rPr/>
            </w:pPr>
            <w:r>
              <w:rPr/>
              <w:t>Thu Dang</w:t>
            </w:r>
          </w:p>
        </w:tc>
      </w:tr>
      <w:tr>
        <w:trPr/>
        <w:tc>
          <w:tcPr>
            <w:tcW w:w="4338" w:type="dxa"/>
            <w:tcBorders>
              <w:top w:val="single" w:sz="4" w:space="0" w:color="808080"/>
              <w:bottom w:val="single" w:sz="4" w:space="0" w:color="808080"/>
            </w:tcBorders>
          </w:tcPr>
          <w:p>
            <w:pPr>
              <w:pStyle w:val="TextFront"/>
              <w:spacing w:before="60" w:after="60"/>
              <w:rPr/>
            </w:pPr>
            <w:r>
              <w:rPr/>
              <w:t>System Architect</w:t>
            </w:r>
          </w:p>
        </w:tc>
        <w:tc>
          <w:tcPr>
            <w:tcW w:w="2622" w:type="dxa"/>
            <w:tcBorders>
              <w:top w:val="single" w:sz="4" w:space="0" w:color="808080"/>
              <w:bottom w:val="single" w:sz="4" w:space="0" w:color="808080"/>
            </w:tcBorders>
          </w:tcPr>
          <w:p>
            <w:pPr>
              <w:pStyle w:val="TextFront"/>
              <w:spacing w:before="60" w:after="60"/>
              <w:rPr/>
            </w:pPr>
            <w:r>
              <w:rPr/>
              <w:t>Jeff Spencer</w:t>
            </w:r>
          </w:p>
        </w:tc>
      </w:tr>
      <w:tr>
        <w:trPr/>
        <w:tc>
          <w:tcPr>
            <w:tcW w:w="4338" w:type="dxa"/>
            <w:tcBorders>
              <w:top w:val="single" w:sz="4" w:space="0" w:color="808080"/>
              <w:bottom w:val="single" w:sz="4" w:space="0" w:color="808080"/>
            </w:tcBorders>
          </w:tcPr>
          <w:p>
            <w:pPr>
              <w:pStyle w:val="TextFront"/>
              <w:spacing w:before="60" w:after="60"/>
              <w:rPr/>
            </w:pPr>
            <w:r>
              <w:rPr/>
              <w:t>Data Architect</w:t>
            </w:r>
          </w:p>
        </w:tc>
        <w:tc>
          <w:tcPr>
            <w:tcW w:w="2622" w:type="dxa"/>
            <w:tcBorders>
              <w:top w:val="single" w:sz="4" w:space="0" w:color="808080"/>
              <w:bottom w:val="single" w:sz="4" w:space="0" w:color="808080"/>
            </w:tcBorders>
          </w:tcPr>
          <w:p>
            <w:pPr>
              <w:pStyle w:val="TextFront"/>
              <w:spacing w:before="60" w:after="60"/>
              <w:rPr/>
            </w:pPr>
            <w:r>
              <w:rPr/>
              <w:t>Sally Craig</w:t>
            </w:r>
          </w:p>
        </w:tc>
      </w:tr>
      <w:tr>
        <w:trPr/>
        <w:tc>
          <w:tcPr>
            <w:tcW w:w="4338" w:type="dxa"/>
            <w:tcBorders>
              <w:top w:val="single" w:sz="4" w:space="0" w:color="808080"/>
              <w:bottom w:val="single" w:sz="4" w:space="0" w:color="808080"/>
            </w:tcBorders>
          </w:tcPr>
          <w:p>
            <w:pPr>
              <w:pStyle w:val="TextFront"/>
              <w:spacing w:before="60" w:after="60"/>
              <w:rPr/>
            </w:pPr>
            <w:r>
              <w:rPr/>
              <w:t>Development Team</w:t>
            </w:r>
          </w:p>
        </w:tc>
        <w:tc>
          <w:tcPr>
            <w:tcW w:w="2622" w:type="dxa"/>
            <w:tcBorders>
              <w:top w:val="single" w:sz="4" w:space="0" w:color="808080"/>
              <w:bottom w:val="single" w:sz="4" w:space="0" w:color="808080"/>
            </w:tcBorders>
          </w:tcPr>
          <w:p>
            <w:pPr>
              <w:pStyle w:val="TextFront"/>
              <w:snapToGrid w:val="false"/>
              <w:spacing w:before="60" w:after="60"/>
              <w:rPr/>
            </w:pPr>
            <w:r>
              <w:rPr/>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Luis Aybar</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Heather Busby</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Ivan Liu</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Marcello Meira</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Michael Swaim</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Rebecca Xie</w:t>
            </w:r>
          </w:p>
        </w:tc>
      </w:tr>
      <w:tr>
        <w:trPr/>
        <w:tc>
          <w:tcPr>
            <w:tcW w:w="4338" w:type="dxa"/>
            <w:tcBorders>
              <w:top w:val="single" w:sz="4" w:space="0" w:color="808080"/>
              <w:bottom w:val="single" w:sz="4" w:space="0" w:color="808080"/>
            </w:tcBorders>
          </w:tcPr>
          <w:p>
            <w:pPr>
              <w:pStyle w:val="TextFront"/>
              <w:spacing w:before="60" w:after="60"/>
              <w:rPr>
                <w:rFonts w:eastAsia="Frutiger 55 Roman"/>
              </w:rPr>
            </w:pPr>
            <w:r>
              <w:rPr>
                <w:rFonts w:eastAsia="Frutiger 55 Roman"/>
              </w:rPr>
              <w:t xml:space="preserve">                  </w:t>
            </w:r>
          </w:p>
        </w:tc>
        <w:tc>
          <w:tcPr>
            <w:tcW w:w="2622" w:type="dxa"/>
            <w:tcBorders>
              <w:top w:val="single" w:sz="4" w:space="0" w:color="808080"/>
              <w:bottom w:val="single" w:sz="4" w:space="0" w:color="808080"/>
            </w:tcBorders>
          </w:tcPr>
          <w:p>
            <w:pPr>
              <w:pStyle w:val="TextFront"/>
              <w:spacing w:before="60" w:after="60"/>
              <w:rPr/>
            </w:pPr>
            <w:r>
              <w:rPr/>
              <w:t>Zhuoming Lou</w:t>
            </w:r>
          </w:p>
        </w:tc>
      </w:tr>
      <w:tr>
        <w:trPr/>
        <w:tc>
          <w:tcPr>
            <w:tcW w:w="4338" w:type="dxa"/>
            <w:tcBorders>
              <w:top w:val="single" w:sz="4" w:space="0" w:color="808080"/>
              <w:bottom w:val="single" w:sz="4" w:space="0" w:color="808080"/>
            </w:tcBorders>
          </w:tcPr>
          <w:p>
            <w:pPr>
              <w:pStyle w:val="TextFront"/>
              <w:snapToGrid w:val="false"/>
              <w:spacing w:before="60" w:after="60"/>
              <w:rPr/>
            </w:pPr>
            <w:r>
              <w:rPr/>
            </w:r>
          </w:p>
        </w:tc>
        <w:tc>
          <w:tcPr>
            <w:tcW w:w="2622" w:type="dxa"/>
            <w:tcBorders>
              <w:top w:val="single" w:sz="4" w:space="0" w:color="808080"/>
              <w:bottom w:val="single" w:sz="4" w:space="0" w:color="808080"/>
            </w:tcBorders>
          </w:tcPr>
          <w:p>
            <w:pPr>
              <w:pStyle w:val="TextFront"/>
              <w:spacing w:before="60" w:after="60"/>
              <w:rPr/>
            </w:pPr>
            <w:r>
              <w:rPr/>
              <w:t>Tim Zhu</w:t>
            </w:r>
          </w:p>
        </w:tc>
      </w:tr>
    </w:tbl>
    <w:p>
      <w:pPr>
        <w:pStyle w:val="Normal"/>
        <w:rPr/>
      </w:pPr>
      <w:r>
        <w:rPr/>
      </w:r>
    </w:p>
    <w:p>
      <w:pPr>
        <w:pStyle w:val="Heading2"/>
        <w:ind w:hanging="0" w:start="0"/>
        <w:rPr/>
      </w:pPr>
      <w:bookmarkStart w:id="31" w:name="__RefHeading___Toc526138724"/>
      <w:bookmarkEnd w:id="31"/>
      <w:r>
        <w:rPr/>
        <w:t>Estimated Timeline</w:t>
      </w:r>
    </w:p>
    <w:p>
      <w:pPr>
        <w:pStyle w:val="FootnoteText"/>
        <w:spacing w:before="0" w:after="0"/>
        <w:rPr/>
      </w:pPr>
      <w:r>
        <w:rPr/>
      </w:r>
    </w:p>
    <w:tbl>
      <w:tblPr>
        <w:tblW w:w="9018" w:type="dxa"/>
        <w:jc w:val="start"/>
        <w:tblInd w:w="0" w:type="dxa"/>
        <w:tblLayout w:type="fixed"/>
        <w:tblCellMar>
          <w:top w:w="0" w:type="dxa"/>
          <w:start w:w="108" w:type="dxa"/>
          <w:bottom w:w="0" w:type="dxa"/>
          <w:end w:w="108" w:type="dxa"/>
        </w:tblCellMar>
      </w:tblPr>
      <w:tblGrid>
        <w:gridCol w:w="3798"/>
        <w:gridCol w:w="1818"/>
        <w:gridCol w:w="3402"/>
      </w:tblGrid>
      <w:tr>
        <w:trPr/>
        <w:tc>
          <w:tcPr>
            <w:tcW w:w="3798" w:type="dxa"/>
            <w:tcBorders/>
          </w:tcPr>
          <w:p>
            <w:pPr>
              <w:pStyle w:val="Header"/>
              <w:tabs>
                <w:tab w:val="clear" w:pos="4153"/>
                <w:tab w:val="clear" w:pos="8306"/>
                <w:tab w:val="left" w:pos="3540" w:leader="none"/>
              </w:tabs>
              <w:spacing w:before="60" w:after="60"/>
              <w:rPr/>
            </w:pPr>
            <w:r>
              <w:rPr/>
              <w:t>Project Phase/Deliverable</w:t>
              <w:tab/>
            </w:r>
          </w:p>
        </w:tc>
        <w:tc>
          <w:tcPr>
            <w:tcW w:w="1818"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Duration</w:t>
            </w:r>
          </w:p>
        </w:tc>
        <w:tc>
          <w:tcPr>
            <w:tcW w:w="3402" w:type="dxa"/>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End Date</w:t>
            </w:r>
          </w:p>
        </w:tc>
      </w:tr>
      <w:tr>
        <w:trPr/>
        <w:tc>
          <w:tcPr>
            <w:tcW w:w="3798" w:type="dxa"/>
            <w:tcBorders>
              <w:bottom w:val="single" w:sz="4" w:space="0" w:color="808080"/>
            </w:tcBorders>
          </w:tcPr>
          <w:p>
            <w:pPr>
              <w:pStyle w:val="TableText"/>
              <w:spacing w:before="60" w:after="60"/>
              <w:rPr/>
            </w:pPr>
            <w:r>
              <w:rPr/>
              <w:t>Gas Backend Schema Design Sub-Project</w:t>
            </w:r>
          </w:p>
        </w:tc>
        <w:tc>
          <w:tcPr>
            <w:tcW w:w="1818" w:type="dxa"/>
            <w:tcBorders>
              <w:bottom w:val="single" w:sz="4" w:space="0" w:color="808080"/>
            </w:tcBorders>
          </w:tcPr>
          <w:p>
            <w:pPr>
              <w:pStyle w:val="TableText"/>
              <w:spacing w:before="60" w:after="60"/>
              <w:rPr/>
            </w:pPr>
            <w:r>
              <w:rPr/>
              <w:t>3 months</w:t>
            </w:r>
          </w:p>
        </w:tc>
        <w:tc>
          <w:tcPr>
            <w:tcW w:w="3402" w:type="dxa"/>
            <w:tcBorders>
              <w:bottom w:val="single" w:sz="4" w:space="0" w:color="808080"/>
            </w:tcBorders>
          </w:tcPr>
          <w:p>
            <w:pPr>
              <w:pStyle w:val="TableText"/>
              <w:spacing w:before="60" w:after="60"/>
              <w:rPr/>
            </w:pPr>
            <w:r>
              <w:rPr/>
              <w:t>Oct 30, 2001</w:t>
            </w:r>
          </w:p>
        </w:tc>
      </w:tr>
      <w:tr>
        <w:trPr/>
        <w:tc>
          <w:tcPr>
            <w:tcW w:w="3798" w:type="dxa"/>
            <w:tcBorders>
              <w:bottom w:val="single" w:sz="4" w:space="0" w:color="808080"/>
            </w:tcBorders>
          </w:tcPr>
          <w:p>
            <w:pPr>
              <w:pStyle w:val="TableText"/>
              <w:spacing w:before="60" w:after="60"/>
              <w:rPr/>
            </w:pPr>
            <w:r>
              <w:rPr/>
              <w:t>Gas Valuation Sub-Project</w:t>
            </w:r>
          </w:p>
        </w:tc>
        <w:tc>
          <w:tcPr>
            <w:tcW w:w="1818" w:type="dxa"/>
            <w:tcBorders>
              <w:bottom w:val="single" w:sz="4" w:space="0" w:color="808080"/>
            </w:tcBorders>
          </w:tcPr>
          <w:p>
            <w:pPr>
              <w:pStyle w:val="TableText"/>
              <w:spacing w:before="60" w:after="60"/>
              <w:rPr/>
            </w:pPr>
            <w:r>
              <w:rPr/>
              <w:t xml:space="preserve">6 months </w:t>
            </w:r>
          </w:p>
        </w:tc>
        <w:tc>
          <w:tcPr>
            <w:tcW w:w="3402" w:type="dxa"/>
            <w:tcBorders>
              <w:bottom w:val="single" w:sz="4" w:space="0" w:color="808080"/>
            </w:tcBorders>
          </w:tcPr>
          <w:p>
            <w:pPr>
              <w:pStyle w:val="TableText"/>
              <w:spacing w:before="60" w:after="60"/>
              <w:rPr/>
            </w:pPr>
            <w:r>
              <w:rPr/>
              <w:t>March 31, 2002</w:t>
            </w:r>
          </w:p>
        </w:tc>
      </w:tr>
      <w:tr>
        <w:trPr/>
        <w:tc>
          <w:tcPr>
            <w:tcW w:w="3798" w:type="dxa"/>
            <w:tcBorders>
              <w:bottom w:val="single" w:sz="4" w:space="0" w:color="808080"/>
            </w:tcBorders>
          </w:tcPr>
          <w:p>
            <w:pPr>
              <w:pStyle w:val="TableText"/>
              <w:spacing w:before="60" w:after="60"/>
              <w:rPr/>
            </w:pPr>
            <w:r>
              <w:rPr/>
              <w:t>Gas Mid-Tier Rewrite Sub-Project</w:t>
            </w:r>
          </w:p>
        </w:tc>
        <w:tc>
          <w:tcPr>
            <w:tcW w:w="1818" w:type="dxa"/>
            <w:tcBorders>
              <w:bottom w:val="single" w:sz="4" w:space="0" w:color="808080"/>
            </w:tcBorders>
          </w:tcPr>
          <w:p>
            <w:pPr>
              <w:pStyle w:val="TableText"/>
              <w:spacing w:before="60" w:after="60"/>
              <w:rPr/>
            </w:pPr>
            <w:r>
              <w:rPr/>
              <w:t>15 months</w:t>
            </w:r>
          </w:p>
        </w:tc>
        <w:tc>
          <w:tcPr>
            <w:tcW w:w="3402" w:type="dxa"/>
            <w:tcBorders>
              <w:bottom w:val="single" w:sz="4" w:space="0" w:color="808080"/>
            </w:tcBorders>
          </w:tcPr>
          <w:p>
            <w:pPr>
              <w:pStyle w:val="TableText"/>
              <w:spacing w:before="60" w:after="60"/>
              <w:rPr/>
            </w:pPr>
            <w:r>
              <w:rPr/>
              <w:t>Dec 31, 2002</w:t>
            </w:r>
          </w:p>
        </w:tc>
      </w:tr>
    </w:tbl>
    <w:p>
      <w:pPr>
        <w:pStyle w:val="Heading1"/>
        <w:rPr/>
      </w:pPr>
      <w:r>
        <w:rPr>
          <w:rFonts w:eastAsia="Frutiger 45 Light"/>
        </w:rPr>
        <w:t xml:space="preserve"> </w:t>
      </w:r>
      <w:bookmarkStart w:id="32" w:name="__RefHeading___Toc526138725"/>
      <w:r>
        <w:rPr/>
        <w:t>XIII.  Project Definition Number Request Form</w:t>
      </w:r>
      <w:bookmarkEnd w:id="32"/>
    </w:p>
    <w:p>
      <w:pPr>
        <w:pStyle w:val="Heading2"/>
        <w:ind w:hanging="0" w:start="0"/>
        <w:rPr/>
      </w:pPr>
      <w:r>
        <w:rPr>
          <w:rFonts w:eastAsia="Frutiger 45 Light"/>
        </w:rPr>
        <w:t xml:space="preserve"> </w:t>
      </w:r>
      <w:bookmarkStart w:id="33" w:name="__RefHeading___Toc526138726"/>
      <w:r>
        <w:rPr/>
        <w:t>Project Information</w:t>
      </w:r>
      <w:bookmarkEnd w:id="33"/>
      <w:r>
        <w:rPr/>
        <w:t xml:space="preserve"> </w:t>
      </w:r>
    </w:p>
    <w:tbl>
      <w:tblPr>
        <w:tblW w:w="10440" w:type="dxa"/>
        <w:jc w:val="start"/>
        <w:tblInd w:w="0" w:type="dxa"/>
        <w:tblLayout w:type="fixed"/>
        <w:tblCellMar>
          <w:top w:w="0" w:type="dxa"/>
          <w:start w:w="108" w:type="dxa"/>
          <w:bottom w:w="0" w:type="dxa"/>
          <w:end w:w="108" w:type="dxa"/>
        </w:tblCellMar>
      </w:tblPr>
      <w:tblGrid>
        <w:gridCol w:w="2448"/>
        <w:gridCol w:w="2604"/>
        <w:gridCol w:w="2694"/>
        <w:gridCol w:w="2694"/>
      </w:tblGrid>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Project Name </w:t>
            </w:r>
          </w:p>
        </w:tc>
        <w:tc>
          <w:tcPr>
            <w:tcW w:w="260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CONSOLIDATED GAS SYSTEM</w:t>
            </w:r>
          </w:p>
        </w:tc>
        <w:tc>
          <w:tcPr>
            <w:tcW w:w="2694"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 xml:space="preserve">IT Project Manager </w:t>
            </w:r>
          </w:p>
        </w:tc>
        <w:tc>
          <w:tcPr>
            <w:tcW w:w="2694" w:type="dxa"/>
            <w:tcBorders>
              <w:top w:val="single" w:sz="4" w:space="0" w:color="000000"/>
              <w:start w:val="single" w:sz="4" w:space="0" w:color="000000"/>
              <w:bottom w:val="single" w:sz="4" w:space="0" w:color="000000"/>
              <w:end w:val="single" w:sz="4" w:space="0" w:color="000000"/>
            </w:tcBorders>
          </w:tcPr>
          <w:p>
            <w:pPr>
              <w:pStyle w:val="FootnoteText"/>
              <w:spacing w:before="60" w:after="60"/>
              <w:rPr>
                <w:rFonts w:ascii="Arial" w:hAnsi="Arial" w:cs="Arial"/>
              </w:rPr>
            </w:pPr>
            <w:r>
              <w:rPr>
                <w:rFonts w:cs="Arial" w:ascii="Arial" w:hAnsi="Arial"/>
              </w:rPr>
              <w:t>Zhiyong Wei</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Project Start Date </w:t>
            </w:r>
          </w:p>
        </w:tc>
        <w:tc>
          <w:tcPr>
            <w:tcW w:w="260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Oct 01, 2001</w:t>
            </w:r>
          </w:p>
        </w:tc>
        <w:tc>
          <w:tcPr>
            <w:tcW w:w="2694"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Est. Complete Date</w:t>
            </w:r>
          </w:p>
        </w:tc>
        <w:tc>
          <w:tcPr>
            <w:tcW w:w="2694"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Dec 31, 2002</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Business Issue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The gas capture and valuation systems need to be re-addressed strategically to adapt to new business requirements, retire redundant legacy systems, and refactor current technical architecture.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Business Benefit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Provide strategic business benefits as well as technical benefits described in the Benefits section of the Statement of Work.</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Responsible Cost Ctr.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103154</w:t>
            </w:r>
          </w:p>
        </w:tc>
      </w:tr>
      <w:tr>
        <w:trPr/>
        <w:tc>
          <w:tcPr>
            <w:tcW w:w="244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 xml:space="preserve">IT Team Members </w:t>
            </w:r>
          </w:p>
        </w:tc>
        <w:tc>
          <w:tcPr>
            <w:tcW w:w="7992" w:type="dxa"/>
            <w:gridSpan w:val="3"/>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Listed above in the Resources section.</w:t>
            </w:r>
          </w:p>
        </w:tc>
      </w:tr>
    </w:tbl>
    <w:p>
      <w:pPr>
        <w:pStyle w:val="Heading2"/>
        <w:ind w:hanging="0" w:start="0"/>
        <w:rPr/>
      </w:pPr>
      <w:r>
        <w:rPr/>
      </w:r>
    </w:p>
    <w:p>
      <w:pPr>
        <w:pStyle w:val="Heading2"/>
        <w:ind w:hanging="0" w:start="0"/>
        <w:rPr/>
      </w:pPr>
      <w:bookmarkStart w:id="34" w:name="__RefHeading___Toc526138727"/>
      <w:r>
        <w:rPr/>
        <w:t>Estimated Costs</w:t>
      </w:r>
      <w:bookmarkEnd w:id="34"/>
      <w:r>
        <w:rPr/>
        <w:t xml:space="preserve">  </w:t>
      </w:r>
    </w:p>
    <w:tbl>
      <w:tblPr>
        <w:tblW w:w="5058" w:type="dxa"/>
        <w:jc w:val="start"/>
        <w:tblInd w:w="0" w:type="dxa"/>
        <w:tblLayout w:type="fixed"/>
        <w:tblCellMar>
          <w:top w:w="0" w:type="dxa"/>
          <w:start w:w="108" w:type="dxa"/>
          <w:bottom w:w="0" w:type="dxa"/>
          <w:end w:w="108" w:type="dxa"/>
        </w:tblCellMar>
      </w:tblPr>
      <w:tblGrid>
        <w:gridCol w:w="3258"/>
        <w:gridCol w:w="1800"/>
      </w:tblGrid>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Hardware Cost (.90)</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700,000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Est. Software Cost (.91)</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199,000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Enron Labor (.92)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$2,000,000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Contract Expenses (.93)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768,000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Other Cost (.94)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    42,000</w:t>
            </w:r>
          </w:p>
        </w:tc>
      </w:tr>
      <w:tr>
        <w:trPr/>
        <w:tc>
          <w:tcPr>
            <w:tcW w:w="3258" w:type="dxa"/>
            <w:tcBorders>
              <w:top w:val="single" w:sz="4" w:space="0" w:color="000000"/>
              <w:start w:val="single" w:sz="4" w:space="0" w:color="000000"/>
              <w:bottom w:val="single" w:sz="4" w:space="0" w:color="000000"/>
              <w:end w:val="single" w:sz="4" w:space="0" w:color="000000"/>
            </w:tcBorders>
          </w:tcPr>
          <w:p>
            <w:pPr>
              <w:pStyle w:val="Header"/>
              <w:spacing w:before="60" w:after="60"/>
              <w:rPr>
                <w:sz w:val="18"/>
              </w:rPr>
            </w:pPr>
            <w:r>
              <w:rPr>
                <w:sz w:val="18"/>
              </w:rPr>
              <w:t xml:space="preserve">Est. Total Cost </w:t>
            </w:r>
          </w:p>
        </w:tc>
        <w:tc>
          <w:tcPr>
            <w:tcW w:w="1800" w:type="dxa"/>
            <w:tcBorders>
              <w:top w:val="single" w:sz="4" w:space="0" w:color="000000"/>
              <w:start w:val="single" w:sz="4" w:space="0" w:color="000000"/>
              <w:bottom w:val="single" w:sz="4" w:space="0" w:color="000000"/>
              <w:end w:val="single" w:sz="4"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$3,709,000</w:t>
            </w:r>
          </w:p>
        </w:tc>
      </w:tr>
    </w:tbl>
    <w:p>
      <w:pPr>
        <w:pStyle w:val="Normal"/>
        <w:rPr/>
      </w:pPr>
      <w:r>
        <w:rPr/>
      </w:r>
    </w:p>
    <w:p>
      <w:pPr>
        <w:pStyle w:val="Heading2"/>
        <w:ind w:hanging="0" w:start="0"/>
        <w:rPr/>
      </w:pPr>
      <w:bookmarkStart w:id="35" w:name="__RefHeading___Toc526138728"/>
      <w:bookmarkEnd w:id="35"/>
      <w:r>
        <w:rPr/>
        <w:t>WBS Components Needed</w:t>
      </w:r>
    </w:p>
    <w:p>
      <w:pPr>
        <w:pStyle w:val="Normal"/>
        <w:rPr/>
      </w:pPr>
      <w:r>
        <w:rPr>
          <w:rFonts w:eastAsia="Palatino"/>
        </w:rPr>
        <w:t xml:space="preserve"> </w:t>
      </w:r>
      <w:r>
        <w:rPr/>
        <w:t>–</w:t>
      </w:r>
      <w:r>
        <w:rPr>
          <w:rFonts w:eastAsia="Palatino"/>
        </w:rPr>
        <w:t xml:space="preserve"> </w:t>
      </w:r>
      <w:r>
        <w:rPr/>
        <w:t>Please check (X) those that apply.</w:t>
      </w:r>
    </w:p>
    <w:tbl>
      <w:tblPr>
        <w:tblW w:w="10440" w:type="dxa"/>
        <w:jc w:val="start"/>
        <w:tblInd w:w="0" w:type="dxa"/>
        <w:tblLayout w:type="fixed"/>
        <w:tblCellMar>
          <w:top w:w="0" w:type="dxa"/>
          <w:start w:w="108" w:type="dxa"/>
          <w:bottom w:w="0" w:type="dxa"/>
          <w:end w:w="108" w:type="dxa"/>
        </w:tblCellMar>
      </w:tblPr>
      <w:tblGrid>
        <w:gridCol w:w="1186"/>
        <w:gridCol w:w="320"/>
        <w:gridCol w:w="1794"/>
        <w:gridCol w:w="448"/>
        <w:gridCol w:w="3133"/>
        <w:gridCol w:w="448"/>
        <w:gridCol w:w="2680"/>
        <w:gridCol w:w="431"/>
      </w:tblGrid>
      <w:tr>
        <w:trPr/>
        <w:tc>
          <w:tcPr>
            <w:tcW w:w="1506"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Def.</w:t>
            </w:r>
          </w:p>
        </w:tc>
        <w:tc>
          <w:tcPr>
            <w:tcW w:w="2242"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Type</w:t>
            </w:r>
          </w:p>
        </w:tc>
        <w:tc>
          <w:tcPr>
            <w:tcW w:w="3581"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Home Department</w:t>
            </w:r>
          </w:p>
        </w:tc>
        <w:tc>
          <w:tcPr>
            <w:tcW w:w="3111" w:type="dxa"/>
            <w:gridSpan w:val="2"/>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Cost Type</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C.xxxxxx</w:t>
            </w:r>
          </w:p>
        </w:tc>
        <w:tc>
          <w:tcPr>
            <w:tcW w:w="320"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179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.01 (Capital)</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.11 (103156/J. Johnson)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.90 (Hardware)</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E.xxxxxx </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794"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.02 (Expense)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.12 (103154/S. Stock)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.91 (Software)</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R.xxxxxx</w:t>
            </w:r>
          </w:p>
        </w:tc>
        <w:tc>
          <w:tcPr>
            <w:tcW w:w="320"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1794" w:type="dxa"/>
            <w:tcBorders>
              <w:top w:val="single" w:sz="2" w:space="0" w:color="000000"/>
              <w:start w:val="single" w:sz="2" w:space="0" w:color="000000"/>
              <w:bottom w:val="single" w:sz="2" w:space="0" w:color="000000"/>
              <w:end w:val="single" w:sz="2"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sz w:val="18"/>
              </w:rPr>
            </w:pPr>
            <w:r>
              <w:rPr>
                <w:sz w:val="18"/>
              </w:rPr>
              <w:t xml:space="preserve">.06 </w:t>
            </w:r>
            <w:r>
              <w:rPr>
                <w:sz w:val="16"/>
              </w:rPr>
              <w:t>(Maintenance)</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.13 (103157/R. Rao)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.92 (Enron Labor)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top w:val="single" w:sz="2" w:space="0" w:color="000000"/>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.14 (103153/J. Wong)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.93 (Contract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.15 (103152/R. Burchfield) </w:t>
            </w:r>
          </w:p>
        </w:tc>
        <w:tc>
          <w:tcPr>
            <w:tcW w:w="448"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c>
          <w:tcPr>
            <w:tcW w:w="2680"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.94 (Other Expenses) </w:t>
            </w:r>
          </w:p>
        </w:tc>
        <w:tc>
          <w:tcPr>
            <w:tcW w:w="431" w:type="dxa"/>
            <w:tcBorders>
              <w:top w:val="single" w:sz="2" w:space="0" w:color="000000"/>
              <w:start w:val="single" w:sz="2" w:space="0" w:color="000000"/>
              <w:bottom w:val="single" w:sz="2" w:space="0" w:color="000000"/>
              <w:end w:val="single" w:sz="2" w:space="0" w:color="000000"/>
            </w:tcBorders>
          </w:tcPr>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t>x</w:t>
            </w:r>
          </w:p>
        </w:tc>
      </w:tr>
      <w:tr>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.16 (103158/T. Yanowski)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top w:val="single" w:sz="2" w:space="0" w:color="000000"/>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1" w:type="dxa"/>
            <w:tcBorders>
              <w:top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r>
        <w:trPr>
          <w:trHeight w:val="346" w:hRule="atLeast"/>
        </w:trPr>
        <w:tc>
          <w:tcPr>
            <w:tcW w:w="1186"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20"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1794"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48" w:type="dxa"/>
            <w:tcBorders>
              <w:end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3133" w:type="dxa"/>
            <w:tcBorders>
              <w:top w:val="single" w:sz="2" w:space="0" w:color="000000"/>
              <w:start w:val="single" w:sz="2" w:space="0" w:color="000000"/>
              <w:bottom w:val="single" w:sz="2" w:space="0" w:color="000000"/>
              <w:end w:val="single" w:sz="2" w:space="0" w:color="000000"/>
            </w:tcBorders>
          </w:tcPr>
          <w:p>
            <w:pPr>
              <w:pStyle w:val="Header"/>
              <w:spacing w:before="60" w:after="60"/>
              <w:rPr>
                <w:sz w:val="18"/>
              </w:rPr>
            </w:pPr>
            <w:r>
              <w:rPr>
                <w:sz w:val="18"/>
              </w:rPr>
              <w:t xml:space="preserve">.27 (103803&amp;103366/H. Elrod) </w:t>
            </w:r>
          </w:p>
        </w:tc>
        <w:tc>
          <w:tcPr>
            <w:tcW w:w="448" w:type="dxa"/>
            <w:tcBorders>
              <w:top w:val="single" w:sz="2" w:space="0" w:color="000000"/>
              <w:start w:val="single" w:sz="2" w:space="0" w:color="000000"/>
              <w:bottom w:val="single" w:sz="2" w:space="0" w:color="000000"/>
              <w:end w:val="single" w:sz="2" w:space="0" w:color="000000"/>
            </w:tcBorders>
          </w:tcPr>
          <w:p>
            <w:pPr>
              <w:pStyle w:val="Hidden"/>
              <w:snapToGrid w:val="false"/>
              <w:rPr>
                <w:rFonts w:ascii="Palatino" w:hAnsi="Palatino" w:cs="Palatino"/>
                <w:i w:val="false"/>
                <w:i w:val="false"/>
                <w:iCs/>
                <w:vanish w:val="false"/>
                <w:color w:val="000000"/>
                <w:sz w:val="18"/>
                <w:lang w:val="en-US"/>
              </w:rPr>
            </w:pPr>
            <w:r>
              <w:rPr>
                <w:rFonts w:cs="Palatino" w:ascii="Palatino" w:hAnsi="Palatino"/>
                <w:i w:val="false"/>
                <w:iCs/>
                <w:vanish w:val="false"/>
                <w:color w:val="000000"/>
                <w:sz w:val="18"/>
                <w:lang w:val="en-US"/>
              </w:rPr>
            </w:r>
          </w:p>
        </w:tc>
        <w:tc>
          <w:tcPr>
            <w:tcW w:w="2680" w:type="dxa"/>
            <w:tcBorders>
              <w:start w:val="single" w:sz="2" w:space="0" w:color="000000"/>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p>
            <w:pPr>
              <w:pStyle w:val="Hidden"/>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c>
          <w:tcPr>
            <w:tcW w:w="431" w:type="dxa"/>
            <w:tcBorders/>
          </w:tcPr>
          <w:p>
            <w:pPr>
              <w:pStyle w:val="Hidden"/>
              <w:snapToGrid w:val="false"/>
              <w:rPr>
                <w:rFonts w:ascii="Palatino" w:hAnsi="Palatino" w:cs="Palatino"/>
                <w:i w:val="false"/>
                <w:i w:val="false"/>
                <w:iCs/>
                <w:vanish w:val="false"/>
                <w:color w:val="000000"/>
                <w:lang w:val="en-US"/>
              </w:rPr>
            </w:pPr>
            <w:r>
              <w:rPr>
                <w:rFonts w:cs="Palatino" w:ascii="Palatino" w:hAnsi="Palatino"/>
                <w:i w:val="false"/>
                <w:iCs/>
                <w:vanish w:val="false"/>
                <w:color w:val="000000"/>
                <w:lang w:val="en-US"/>
              </w:rPr>
            </w:r>
          </w:p>
        </w:tc>
      </w:tr>
    </w:tbl>
    <w:p>
      <w:pPr>
        <w:pStyle w:val="Heading1"/>
        <w:rPr/>
      </w:pPr>
      <w:r>
        <w:br w:type="page"/>
      </w:r>
      <w:bookmarkStart w:id="36" w:name="__RefHeading___Toc526138729"/>
      <w:bookmarkEnd w:id="36"/>
      <w:r>
        <w:rPr/>
        <w:t>XIV.  Approval &amp; Sign-off</w:t>
      </w:r>
    </w:p>
    <w:p>
      <w:pPr>
        <w:pStyle w:val="Normal"/>
        <w:ind w:start="360" w:end="0"/>
        <w:rPr/>
      </w:pPr>
      <w:r>
        <w:rPr/>
      </w:r>
    </w:p>
    <w:p>
      <w:pPr>
        <w:pStyle w:val="BodyTextIndent"/>
        <w:ind w:start="0" w:end="0"/>
        <w:jc w:val="both"/>
        <w:rPr/>
      </w:pPr>
      <w:r>
        <w:rPr>
          <w:i/>
          <w:iCs/>
        </w:rPr>
        <w:t xml:space="preserve">By signing this document, the Business Unit Sponsor agrees with the costs to be incurred during the life of the project that is outlined in this document.  The Business Unit Sponsor should provide project set up information, which is available from their accounting team.  </w:t>
      </w:r>
      <w:r>
        <w:rPr>
          <w:i/>
          <w:iCs/>
          <w:u w:val="single"/>
        </w:rPr>
        <w:t>Project work will not begin until project set up information and approval is provided</w:t>
      </w:r>
      <w:r>
        <w:rPr>
          <w:i/>
          <w:iCs/>
        </w:rPr>
        <w:t xml:space="preserve">.  </w:t>
      </w:r>
    </w:p>
    <w:p>
      <w:pPr>
        <w:pStyle w:val="BodyTextIndent"/>
        <w:ind w:start="0" w:end="0"/>
        <w:rPr>
          <w:rFonts w:eastAsia="Palatino"/>
          <w:i/>
          <w:i/>
          <w:iCs/>
          <w:vanish/>
        </w:rPr>
      </w:pPr>
      <w:r>
        <w:rPr>
          <w:rFonts w:eastAsia="Palatino"/>
          <w:i/>
          <w:iCs/>
          <w:vanish/>
        </w:rPr>
        <w:t xml:space="preserve">  </w:t>
      </w:r>
    </w:p>
    <w:tbl>
      <w:tblPr>
        <w:tblW w:w="10170" w:type="dxa"/>
        <w:jc w:val="start"/>
        <w:tblInd w:w="-72" w:type="dxa"/>
        <w:tblLayout w:type="fixed"/>
        <w:tblCellMar>
          <w:top w:w="0" w:type="dxa"/>
          <w:start w:w="108" w:type="dxa"/>
          <w:bottom w:w="0" w:type="dxa"/>
          <w:end w:w="108" w:type="dxa"/>
        </w:tblCellMar>
      </w:tblPr>
      <w:tblGrid>
        <w:gridCol w:w="2970"/>
        <w:gridCol w:w="7200"/>
      </w:tblGrid>
      <w:tr>
        <w:trPr/>
        <w:tc>
          <w:tcPr>
            <w:tcW w:w="10170" w:type="dxa"/>
            <w:gridSpan w:val="2"/>
            <w:tcBorders>
              <w:top w:val="single" w:sz="4" w:space="0" w:color="000000"/>
              <w:start w:val="single" w:sz="4" w:space="0" w:color="000000"/>
              <w:bottom w:val="single" w:sz="4" w:space="0" w:color="000000"/>
              <w:end w:val="single" w:sz="4" w:space="0" w:color="000000"/>
            </w:tcBorders>
          </w:tcPr>
          <w:p>
            <w:pPr>
              <w:pStyle w:val="Header"/>
              <w:spacing w:before="60" w:after="60"/>
              <w:jc w:val="center"/>
              <w:rPr/>
            </w:pPr>
            <w:r>
              <w:rPr/>
              <w:t>Sponsor and Allocation Information</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Business Unit</w:t>
            </w:r>
          </w:p>
        </w:tc>
        <w:tc>
          <w:tcPr>
            <w:tcW w:w="7200" w:type="dxa"/>
            <w:tcBorders>
              <w:top w:val="single" w:sz="4" w:space="0" w:color="000000"/>
              <w:start w:val="single" w:sz="4" w:space="0" w:color="000000"/>
              <w:bottom w:val="single" w:sz="4" w:space="0" w:color="000000"/>
              <w:end w:val="single" w:sz="4" w:space="0" w:color="000000"/>
            </w:tcBorders>
          </w:tcPr>
          <w:p>
            <w:pPr>
              <w:pStyle w:val="TextFront"/>
              <w:spacing w:before="60" w:after="60"/>
              <w:rPr/>
            </w:pPr>
            <w:r>
              <w:rPr/>
              <w:t>Enron North America</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 Company #</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0413</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rFonts w:ascii="Arial" w:hAnsi="Arial" w:cs="Arial"/>
              </w:rPr>
            </w:pPr>
            <w:r>
              <w:rPr/>
              <w:t>BU Cost Center*</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106298</w:t>
            </w:r>
          </w:p>
        </w:tc>
      </w:tr>
      <w:tr>
        <w:trPr/>
        <w:tc>
          <w:tcPr>
            <w:tcW w:w="2970"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BU Commercial Team       (if applicable)</w:t>
            </w:r>
          </w:p>
        </w:tc>
        <w:tc>
          <w:tcPr>
            <w:tcW w:w="7200" w:type="dxa"/>
            <w:tcBorders>
              <w:top w:val="single" w:sz="4" w:space="0" w:color="000000"/>
              <w:start w:val="single" w:sz="4" w:space="0" w:color="000000"/>
              <w:bottom w:val="single" w:sz="4" w:space="0" w:color="000000"/>
              <w:end w:val="single" w:sz="4" w:space="0" w:color="000000"/>
            </w:tcBorders>
          </w:tcPr>
          <w:p>
            <w:pPr>
              <w:pStyle w:val="Normal"/>
              <w:spacing w:before="60" w:after="60"/>
              <w:rPr>
                <w:rFonts w:ascii="Arial" w:hAnsi="Arial" w:cs="Arial"/>
              </w:rPr>
            </w:pPr>
            <w:r>
              <w:rPr>
                <w:rFonts w:cs="Arial" w:ascii="Arial" w:hAnsi="Arial"/>
              </w:rPr>
              <w:t>Geoffrey Storey</w:t>
            </w:r>
          </w:p>
          <w:p>
            <w:pPr>
              <w:pStyle w:val="Normal"/>
              <w:rPr>
                <w:rFonts w:ascii="Arial" w:hAnsi="Arial" w:cs="Arial"/>
              </w:rPr>
            </w:pPr>
            <w:r>
              <w:rPr>
                <w:rFonts w:cs="Arial" w:ascii="Arial" w:hAnsi="Arial"/>
              </w:rPr>
              <w:t>Jeff Gossett</w:t>
            </w:r>
          </w:p>
          <w:p>
            <w:pPr>
              <w:pStyle w:val="Normal"/>
              <w:rPr>
                <w:rFonts w:ascii="Arial" w:hAnsi="Arial" w:cs="Arial"/>
              </w:rPr>
            </w:pPr>
            <w:r>
              <w:rPr>
                <w:rFonts w:cs="Arial" w:ascii="Arial" w:hAnsi="Arial"/>
              </w:rPr>
              <w:t>Russ Severson</w:t>
            </w:r>
          </w:p>
          <w:p>
            <w:pPr>
              <w:pStyle w:val="Normal"/>
              <w:spacing w:before="60" w:after="60"/>
              <w:rPr>
                <w:rFonts w:ascii="Arial" w:hAnsi="Arial" w:cs="Arial"/>
              </w:rPr>
            </w:pPr>
            <w:r>
              <w:rPr>
                <w:rFonts w:cs="Arial" w:ascii="Arial" w:hAnsi="Arial"/>
              </w:rPr>
              <w:t>George Grant</w:t>
            </w:r>
          </w:p>
        </w:tc>
      </w:tr>
    </w:tbl>
    <w:p>
      <w:pPr>
        <w:pStyle w:val="Heading4"/>
        <w:ind w:hanging="0" w:start="0"/>
        <w:rPr/>
      </w:pPr>
      <w:r>
        <w:rPr/>
      </w:r>
    </w:p>
    <w:p>
      <w:pPr>
        <w:pStyle w:val="Heading4"/>
        <w:ind w:hanging="0" w:start="0"/>
        <w:rPr/>
      </w:pPr>
      <w:r>
        <w:rPr/>
        <w:t>Business Sponsor(s)</w:t>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Date_______________</w:t>
      </w:r>
    </w:p>
    <w:p>
      <w:pPr>
        <w:pStyle w:val="BodyTextIndent"/>
        <w:ind w:firstLine="720" w:start="1440" w:end="0"/>
        <w:jc w:val="both"/>
        <w:rPr/>
      </w:pPr>
      <w:r>
        <w:rPr>
          <w:i/>
          <w:iCs/>
        </w:rPr>
        <w:t>Louise Kitchen, Chief Operating Officer, Enron North America</w:t>
      </w:r>
      <w:r>
        <w:rPr/>
        <w:tab/>
        <w:tab/>
      </w:r>
    </w:p>
    <w:p>
      <w:pPr>
        <w:pStyle w:val="BodyTextIndent"/>
        <w:ind w:firstLine="720" w:end="0"/>
        <w:jc w:val="both"/>
        <w:rPr/>
      </w:pPr>
      <w:r>
        <w:rPr/>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jc w:val="both"/>
        <w:rPr/>
      </w:pPr>
      <w:r>
        <w:rPr/>
        <w:tab/>
        <w:tab/>
        <w:tab/>
      </w:r>
      <w:r>
        <w:rPr>
          <w:i/>
          <w:iCs/>
        </w:rPr>
        <w:t>Geoffrey Storey, Director - Trading, Enron North America.</w:t>
      </w:r>
      <w:r>
        <w:rPr/>
        <w:tab/>
      </w:r>
    </w:p>
    <w:p>
      <w:pPr>
        <w:pStyle w:val="BodyTextIndent"/>
        <w:jc w:val="both"/>
        <w:rPr/>
      </w:pPr>
      <w:r>
        <w:rPr/>
      </w:r>
    </w:p>
    <w:p>
      <w:pPr>
        <w:pStyle w:val="Heading4"/>
        <w:ind w:hanging="0" w:start="0"/>
        <w:rPr/>
      </w:pPr>
      <w:r>
        <w:rPr/>
        <w:t>IT Sponsor(s)</w:t>
        <w:tab/>
        <w:tab/>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start="0" w:end="0"/>
        <w:jc w:val="both"/>
        <w:rPr>
          <w:i/>
          <w:i/>
          <w:iCs/>
        </w:rPr>
      </w:pPr>
      <w:r>
        <w:rPr>
          <w:i/>
          <w:iCs/>
        </w:rPr>
        <w:tab/>
        <w:tab/>
        <w:tab/>
        <w:t>Stephen Stock, Sr. Director – Enron Net Works</w:t>
      </w:r>
    </w:p>
    <w:p>
      <w:pPr>
        <w:pStyle w:val="BodyTextIndent"/>
        <w:ind w:firstLine="720" w:start="1440" w:end="0"/>
        <w:jc w:val="both"/>
        <w:rPr/>
      </w:pPr>
      <w:r>
        <w:rPr/>
      </w:r>
    </w:p>
    <w:p>
      <w:pPr>
        <w:pStyle w:val="BodyTextIndent"/>
        <w:ind w:firstLine="720" w:start="1440" w:end="0"/>
        <w:jc w:val="both"/>
        <w:rPr/>
      </w:pPr>
      <w:r>
        <w:rPr/>
      </w:r>
    </w:p>
    <w:p>
      <w:pPr>
        <w:pStyle w:val="BodyTextIndent"/>
        <w:ind w:firstLine="720" w:start="1440" w:end="0"/>
        <w:jc w:val="both"/>
        <w:rPr/>
      </w:pPr>
      <w:r>
        <w:rPr/>
        <w:t xml:space="preserve">_______________________ </w:t>
        <w:tab/>
        <w:tab/>
        <w:t>Date ______________</w:t>
      </w:r>
    </w:p>
    <w:p>
      <w:pPr>
        <w:pStyle w:val="BodyTextIndent"/>
        <w:ind w:firstLine="720" w:start="1440" w:end="0"/>
        <w:jc w:val="both"/>
        <w:rPr/>
      </w:pPr>
      <w:r>
        <w:rPr>
          <w:i/>
          <w:iCs/>
        </w:rPr>
        <w:t>Zhiyong Wei, Sr. Director - Gas Systems, Enron Net Works</w:t>
      </w:r>
      <w:r>
        <w:rPr/>
        <w:tab/>
        <w:tab/>
        <w:tab/>
      </w:r>
    </w:p>
    <w:p>
      <w:pPr>
        <w:pStyle w:val="BodyTextIndent"/>
        <w:ind w:start="0" w:end="0"/>
        <w:jc w:val="both"/>
        <w:rPr>
          <w:i/>
          <w:i/>
          <w:iCs/>
        </w:rPr>
      </w:pPr>
      <w:r>
        <w:rPr>
          <w:i/>
          <w:iCs/>
        </w:rPr>
      </w:r>
      <w:r>
        <w:br w:type="page"/>
      </w:r>
    </w:p>
    <w:p>
      <w:pPr>
        <w:pStyle w:val="Heading1"/>
        <w:rPr/>
      </w:pPr>
      <w:bookmarkStart w:id="37" w:name="__RefHeading___Toc526138730"/>
      <w:bookmarkEnd w:id="37"/>
      <w:r>
        <w:rPr/>
        <w:t>XV.  Project Number Assignment</w:t>
      </w:r>
    </w:p>
    <w:p>
      <w:pPr>
        <w:pStyle w:val="Hidden"/>
        <w:spacing w:before="60" w:after="60"/>
        <w:rPr/>
      </w:pPr>
      <w:r>
        <w:rPr/>
        <w:t xml:space="preserve">To be completed by ENW Accounting. </w:t>
      </w:r>
    </w:p>
    <w:tbl>
      <w:tblPr>
        <w:tblW w:w="10440" w:type="dxa"/>
        <w:jc w:val="start"/>
        <w:tblInd w:w="0" w:type="dxa"/>
        <w:tblLayout w:type="fixed"/>
        <w:tblCellMar>
          <w:top w:w="0" w:type="dxa"/>
          <w:start w:w="108" w:type="dxa"/>
          <w:bottom w:w="0" w:type="dxa"/>
          <w:end w:w="108" w:type="dxa"/>
        </w:tblCellMar>
      </w:tblPr>
      <w:tblGrid>
        <w:gridCol w:w="2988"/>
        <w:gridCol w:w="7452"/>
      </w:tblGrid>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Project Definition #</w:t>
            </w:r>
          </w:p>
        </w:tc>
        <w:tc>
          <w:tcPr>
            <w:tcW w:w="7452" w:type="dxa"/>
            <w:tcBorders>
              <w:top w:val="single" w:sz="4" w:space="0" w:color="000000"/>
              <w:start w:val="single" w:sz="4" w:space="0" w:color="000000"/>
              <w:bottom w:val="single" w:sz="4" w:space="0" w:color="000000"/>
              <w:end w:val="single" w:sz="4" w:space="0" w:color="000000"/>
            </w:tcBorders>
          </w:tcPr>
          <w:p>
            <w:pPr>
              <w:pStyle w:val="FootnoteText"/>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Date Assigned</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r>
        <w:trPr>
          <w:trHeight w:val="380" w:hRule="atLeast"/>
        </w:trPr>
        <w:tc>
          <w:tcPr>
            <w:tcW w:w="2988" w:type="dxa"/>
            <w:tcBorders>
              <w:top w:val="single" w:sz="4" w:space="0" w:color="000000"/>
              <w:start w:val="single" w:sz="4" w:space="0" w:color="000000"/>
              <w:bottom w:val="single" w:sz="4" w:space="0" w:color="000000"/>
              <w:end w:val="single" w:sz="4" w:space="0" w:color="000000"/>
            </w:tcBorders>
          </w:tcPr>
          <w:p>
            <w:pPr>
              <w:pStyle w:val="Header"/>
              <w:pBdr>
                <w:top w:val="single" w:sz="4" w:space="1" w:color="999999"/>
                <w:left w:val="single" w:sz="4" w:space="4" w:color="999999"/>
                <w:bottom w:val="single" w:sz="4" w:space="1" w:color="999999"/>
                <w:right w:val="single" w:sz="4" w:space="4" w:color="999999"/>
              </w:pBdr>
              <w:shd w:fill="A6A6A6" w:val="clear"/>
              <w:spacing w:before="60" w:after="60"/>
              <w:rPr/>
            </w:pPr>
            <w:r>
              <w:rPr/>
              <w:t>ENW Accountant</w:t>
            </w:r>
          </w:p>
        </w:tc>
        <w:tc>
          <w:tcPr>
            <w:tcW w:w="7452" w:type="dxa"/>
            <w:tcBorders>
              <w:top w:val="single" w:sz="4" w:space="0" w:color="000000"/>
              <w:start w:val="single" w:sz="4" w:space="0" w:color="000000"/>
              <w:bottom w:val="single" w:sz="4" w:space="0" w:color="000000"/>
              <w:end w:val="single" w:sz="4" w:space="0" w:color="000000"/>
            </w:tcBorders>
          </w:tcPr>
          <w:p>
            <w:pPr>
              <w:pStyle w:val="Normal"/>
              <w:snapToGrid w:val="false"/>
              <w:spacing w:before="60" w:after="60"/>
              <w:rPr>
                <w:rFonts w:ascii="Arial" w:hAnsi="Arial" w:cs="Arial"/>
              </w:rPr>
            </w:pPr>
            <w:r>
              <w:rPr>
                <w:rFonts w:cs="Arial" w:ascii="Arial" w:hAnsi="Arial"/>
              </w:rPr>
            </w:r>
          </w:p>
        </w:tc>
      </w:tr>
    </w:tbl>
    <w:p>
      <w:pPr>
        <w:pStyle w:val="Normal"/>
        <w:rPr/>
      </w:pPr>
      <w:r>
        <w:rPr/>
      </w:r>
    </w:p>
    <w:p>
      <w:pPr>
        <w:pStyle w:val="Heading1"/>
        <w:spacing w:before="240" w:after="120"/>
        <w:rPr/>
      </w:pPr>
      <w:r>
        <w:rPr/>
        <w:tab/>
      </w:r>
    </w:p>
    <w:sectPr>
      <w:headerReference w:type="default" r:id="rId11"/>
      <w:headerReference w:type="first" r:id="rId12"/>
      <w:footerReference w:type="default" r:id="rId13"/>
      <w:footerReference w:type="first" r:id="rId14"/>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Frutiger 45 Light">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Frutiger 55 Roman">
    <w:charset w:val="00" w:characterSet="windows-1252"/>
    <w:family w:val="swiss"/>
    <w:pitch w:val="variable"/>
  </w:font>
  <w:font w:name="Enron Neuropol">
    <w:altName w:val="Courier New"/>
    <w:charset w:val="00" w:characterSet="windows-125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right" w:pos="8931" w:leader="none"/>
      </w:tabs>
      <w:spacing w:before="60" w:after="60"/>
      <w:rPr>
        <w:rStyle w:val="PageNumber"/>
        <w:rFonts w:ascii="Arial" w:hAnsi="Arial" w:cs="Arial"/>
        <w:b w:val="false"/>
        <w:color w:val="000080"/>
      </w:rPr>
    </w:pPr>
    <w:r>
      <w:rPr>
        <w:rFonts w:cs="Arial" w:ascii="Arial" w:hAnsi="Arial"/>
        <w:b/>
        <w:color w:val="000080"/>
      </w:rPr>
      <w:t>Enron Net Works</w:t>
      <w:tab/>
    </w:r>
    <w:r>
      <w:rPr>
        <w:rStyle w:val="PageNumber"/>
        <w:rFonts w:cs="Arial" w:ascii="Arial" w:hAnsi="Arial"/>
        <w:b w:val="false"/>
        <w:color w:val="000080"/>
      </w:rPr>
      <w:fldChar w:fldCharType="begin"/>
    </w:r>
    <w:r>
      <w:rPr>
        <w:rStyle w:val="PageNumber"/>
        <w:b w:val="false"/>
        <w:rFonts w:cs="Arial" w:ascii="Arial" w:hAnsi="Arial"/>
        <w:color w:val="000080"/>
      </w:rPr>
      <w:instrText xml:space="preserve"> PAGE </w:instrText>
    </w:r>
    <w:r>
      <w:rPr>
        <w:rStyle w:val="PageNumber"/>
        <w:b w:val="false"/>
        <w:rFonts w:cs="Arial" w:ascii="Arial" w:hAnsi="Arial"/>
        <w:color w:val="000080"/>
      </w:rPr>
      <w:fldChar w:fldCharType="separate"/>
    </w:r>
    <w:r>
      <w:rPr>
        <w:rStyle w:val="PageNumber"/>
        <w:b w:val="false"/>
        <w:rFonts w:cs="Arial" w:ascii="Arial" w:hAnsi="Arial"/>
        <w:color w:val="000080"/>
      </w:rPr>
      <w:t>0</w:t>
    </w:r>
    <w:r>
      <w:rPr>
        <w:rStyle w:val="PageNumber"/>
        <w:b w:val="false"/>
        <w:rFonts w:cs="Arial" w:ascii="Arial" w:hAnsi="Arial"/>
        <w:color w:val="000080"/>
      </w:rPr>
      <w:fldChar w:fldCharType="end"/>
    </w:r>
  </w:p>
  <w:p>
    <w:pPr>
      <w:pStyle w:val="Footer"/>
      <w:pBdr>
        <w:top w:val="single" w:sz="12" w:space="1" w:color="000080"/>
      </w:pBdr>
      <w:tabs>
        <w:tab w:val="clear" w:pos="4153"/>
        <w:tab w:val="clear" w:pos="8306"/>
        <w:tab w:val="right" w:pos="8931" w:leader="none"/>
      </w:tabs>
      <w:spacing w:before="60" w:after="60"/>
      <w:rPr/>
    </w:pPr>
    <w:r>
      <w:rPr>
        <w:rStyle w:val="PageNumber"/>
        <w:rFonts w:cs="Arial" w:ascii="Arial" w:hAnsi="Arial"/>
        <w:i/>
        <w:color w:val="000080"/>
        <w:sz w:val="16"/>
      </w:rPr>
      <w:t>Project Phase: Inception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999999"/>
      </w:pBdr>
      <w:tabs>
        <w:tab w:val="clear" w:pos="4153"/>
        <w:tab w:val="clear" w:pos="8306"/>
        <w:tab w:val="right" w:pos="10080" w:leader="none"/>
      </w:tabs>
      <w:spacing w:before="120" w:after="60"/>
      <w:ind w:end="144"/>
      <w:rPr>
        <w:rStyle w:val="PageNumber"/>
      </w:rPr>
    </w:pPr>
    <w:r>
      <w:rPr>
        <w:rStyle w:val="PageNumber"/>
      </w:rPr>
      <w:t>Enron Net Works</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24</w:t>
    </w:r>
    <w:r>
      <w:rPr>
        <w:rStyle w:val="PageNumber"/>
      </w:rPr>
      <w:fldChar w:fldCharType="end"/>
    </w:r>
  </w:p>
  <w:p>
    <w:pPr>
      <w:pStyle w:val="Footer"/>
      <w:tabs>
        <w:tab w:val="clear" w:pos="4153"/>
        <w:tab w:val="clear" w:pos="8306"/>
        <w:tab w:val="right" w:pos="10080" w:leader="none"/>
      </w:tabs>
      <w:ind w:end="144"/>
      <w:rPr/>
    </w:pPr>
    <w:r>
      <w:rPr>
        <w:rStyle w:val="PageNumber"/>
      </w:rPr>
      <w:t>Project Phase: Inception</w:t>
      <w:tab/>
      <w:t>Project: Consolidated Gas System</w:t>
    </w:r>
  </w:p>
  <w:p>
    <w:pPr>
      <w:pStyle w:val="Footer"/>
      <w:tabs>
        <w:tab w:val="clear" w:pos="4153"/>
        <w:tab w:val="clear" w:pos="8306"/>
        <w:tab w:val="right" w:pos="10080" w:leader="none"/>
      </w:tabs>
      <w:spacing w:before="60" w:after="60"/>
      <w:ind w:end="144"/>
      <w:rPr/>
    </w:pPr>
    <w:r>
      <w:rPr>
        <w:rStyle w:val="PageNumber"/>
        <w:i/>
        <w:iCs/>
        <w:sz w:val="16"/>
      </w:rPr>
      <w:t>Prepared by Thu Dang</w:t>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spacing w:before="60" w:after="60"/>
      <w:rPr/>
    </w:pPr>
    <w:r>
      <w:rPr/>
      <w:tab/>
      <w:tab/>
    </w:r>
    <w:r>
      <w:rPr/>
      <w:drawing>
        <wp:inline distT="0" distB="0" distL="0" distR="0">
          <wp:extent cx="457200" cy="45720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
                  <a:stretch>
                    <a:fillRect/>
                  </a:stretch>
                </pic:blipFill>
                <pic:spPr bwMode="auto">
                  <a:xfrm>
                    <a:off x="0" y="0"/>
                    <a:ext cx="457200" cy="457200"/>
                  </a:xfrm>
                  <a:prstGeom prst="rect">
                    <a:avLst/>
                  </a:prstGeom>
                </pic:spPr>
              </pic:pic>
            </a:graphicData>
          </a:graphic>
        </wp:inline>
      </w:drawing>
    </w:r>
  </w:p>
  <w:p>
    <w:pPr>
      <w:pStyle w:val="Normal"/>
      <w:widowControl/>
      <w:bidi w:val="0"/>
      <w:spacing w:before="60" w:after="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10170" w:leader="none"/>
      </w:tabs>
      <w:spacing w:before="60" w:after="60"/>
      <w:rPr/>
    </w:pPr>
    <w:r>
      <w:rPr/>
      <w:tab/>
    </w:r>
    <w:r>
      <w:rPr/>
      <w:drawing>
        <wp:inline distT="0" distB="0" distL="0" distR="0">
          <wp:extent cx="457200" cy="457200"/>
          <wp:effectExtent l="0" t="0" r="0" b="0"/>
          <wp:docPr id="6" name="EnronLogo_Sm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ronLogo_Small"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990" w:leader="none"/>
        <w:tab w:val="right" w:pos="10170" w:leader="none"/>
      </w:tabs>
      <w:spacing w:before="60" w:after="60"/>
      <w:rPr/>
    </w:pPr>
    <w:r>
      <w:rPr/>
      <w:tab/>
    </w:r>
    <w:r>
      <w:rPr/>
      <w:drawing>
        <wp:inline distT="0" distB="0" distL="0" distR="0">
          <wp:extent cx="457200" cy="45720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1"/>
                  <a:srcRect l="-79" t="-79" r="-79" b="-79"/>
                  <a:stretch>
                    <a:fillRect/>
                  </a:stretch>
                </pic:blipFill>
                <pic:spPr bwMode="auto">
                  <a:xfrm>
                    <a:off x="0" y="0"/>
                    <a:ext cx="45720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1440" w:hanging="360"/>
      </w:pPr>
      <w:rPr>
        <w:rFonts w:ascii="Courier New" w:hAnsi="Courier New" w:cs="Courier New"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1080"/>
        </w:tabs>
        <w:ind w:start="1080" w:hanging="360"/>
      </w:pPr>
      <w:rPr>
        <w:rFonts w:ascii="Wingdings" w:hAnsi="Wingdings" w:cs="Wingdings"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sz w:val="16"/>
        <w:color w:val="0066CC"/>
      </w:rPr>
    </w:lvl>
  </w:abstractNum>
  <w:abstractNum w:abstractNumId="7">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abstractNum w:abstractNumId="8">
    <w:lvl w:ilvl="0">
      <w:start w:val="1"/>
      <w:numFmt w:val="bullet"/>
      <w:lvlText w:val="o"/>
      <w:lvlJc w:val="start"/>
      <w:pPr>
        <w:tabs>
          <w:tab w:val="num" w:pos="720"/>
        </w:tabs>
        <w:ind w:start="72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8"/>
      <w:numFmt w:val="upperRoman"/>
      <w:lvlText w:val="%1."/>
      <w:lvlJc w:val="start"/>
      <w:pPr>
        <w:tabs>
          <w:tab w:val="num" w:pos="1080"/>
        </w:tabs>
        <w:ind w:start="1080" w:hanging="720"/>
      </w:pPr>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Symbol" w:hAnsi="Symbol" w:cs="Symbol" w:hint="default"/>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sz w:val="16"/>
      </w:rPr>
    </w:lvl>
  </w:abstractNum>
  <w:abstractNum w:abstractNumId="22">
    <w:lvl w:ilvl="0">
      <w:start w:val="1"/>
      <w:numFmt w:val="bullet"/>
      <w:lvlText w:val=""/>
      <w:lvlJc w:val="start"/>
      <w:pPr>
        <w:tabs>
          <w:tab w:val="num" w:pos="720"/>
        </w:tabs>
        <w:ind w:start="720" w:hanging="360"/>
      </w:pPr>
      <w:rPr>
        <w:rFonts w:ascii="Wingdings" w:hAnsi="Wingdings" w:cs="Wingdings"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abstractNum w:abstractNumId="24">
    <w:lvl w:ilvl="0">
      <w:start w:val="1"/>
      <w:numFmt w:val="decimal"/>
      <w:lvlText w:val="%1)"/>
      <w:lvlJc w:val="start"/>
      <w:pPr>
        <w:tabs>
          <w:tab w:val="num" w:pos="72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5">
    <w:lvl w:ilvl="0">
      <w:start w:val="1"/>
      <w:numFmt w:val="bullet"/>
      <w:lvlText w:val=""/>
      <w:lvlJc w:val="start"/>
      <w:pPr>
        <w:tabs>
          <w:tab w:val="num" w:pos="1080"/>
        </w:tabs>
        <w:ind w:start="1080" w:hanging="360"/>
      </w:pPr>
      <w:rPr>
        <w:rFonts w:ascii="Wingdings" w:hAnsi="Wingdings" w:cs="Wingdings" w:hint="default"/>
      </w:rPr>
    </w:lvl>
    <w:lvl w:ilvl="1">
      <w:start w:val="1"/>
      <w:numFmt w:val="lowerLetter"/>
      <w:lvlText w:val="%2)"/>
      <w:lvlJc w:val="start"/>
      <w:pPr>
        <w:tabs>
          <w:tab w:val="num" w:pos="1440"/>
        </w:tabs>
        <w:ind w:start="1440" w:hanging="360"/>
      </w:pPr>
    </w:lvl>
    <w:lvl w:ilvl="2">
      <w:start w:val="1"/>
      <w:numFmt w:val="lowerRoman"/>
      <w:lvlText w:val="%3)"/>
      <w:lvlJc w:val="start"/>
      <w:pPr>
        <w:tabs>
          <w:tab w:val="num" w:pos="1800"/>
        </w:tabs>
        <w:ind w:start="1800" w:hanging="360"/>
      </w:pPr>
    </w:lvl>
    <w:lvl w:ilvl="3">
      <w:start w:val="1"/>
      <w:numFmt w:val="decimal"/>
      <w:lvlText w:val="(%4)"/>
      <w:lvlJc w:val="start"/>
      <w:pPr>
        <w:tabs>
          <w:tab w:val="num" w:pos="2160"/>
        </w:tabs>
        <w:ind w:start="2160" w:hanging="360"/>
      </w:pPr>
    </w:lvl>
    <w:lvl w:ilvl="4">
      <w:start w:val="1"/>
      <w:numFmt w:val="lowerLetter"/>
      <w:lvlText w:val="(%5)"/>
      <w:lvlJc w:val="start"/>
      <w:pPr>
        <w:tabs>
          <w:tab w:val="num" w:pos="2520"/>
        </w:tabs>
        <w:ind w:start="2520" w:hanging="360"/>
      </w:pPr>
    </w:lvl>
    <w:lvl w:ilvl="5">
      <w:start w:val="1"/>
      <w:numFmt w:val="lowerRoman"/>
      <w:lvlText w:val="(%6)"/>
      <w:lvlJc w:val="start"/>
      <w:pPr>
        <w:tabs>
          <w:tab w:val="num" w:pos="2880"/>
        </w:tabs>
        <w:ind w:start="2880" w:hanging="360"/>
      </w:pPr>
    </w:lvl>
    <w:lvl w:ilvl="6">
      <w:start w:val="1"/>
      <w:numFmt w:val="decimal"/>
      <w:lvlText w:val="%7."/>
      <w:lvlJc w:val="start"/>
      <w:pPr>
        <w:tabs>
          <w:tab w:val="num" w:pos="3240"/>
        </w:tabs>
        <w:ind w:start="3240" w:hanging="360"/>
      </w:pPr>
    </w:lvl>
    <w:lvl w:ilvl="7">
      <w:start w:val="1"/>
      <w:numFmt w:val="lowerLetter"/>
      <w:lvlText w:val="%8."/>
      <w:lvlJc w:val="start"/>
      <w:pPr>
        <w:tabs>
          <w:tab w:val="num" w:pos="3600"/>
        </w:tabs>
        <w:ind w:start="3600" w:hanging="360"/>
      </w:pPr>
    </w:lvl>
    <w:lvl w:ilvl="8">
      <w:start w:val="1"/>
      <w:numFmt w:val="lowerRoman"/>
      <w:lvlText w:val="%9."/>
      <w:lvlJc w:val="start"/>
      <w:pPr>
        <w:tabs>
          <w:tab w:val="num" w:pos="3960"/>
        </w:tabs>
        <w:ind w:start="39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00"/>
  <w:revisionView w:insDel="0" w:formatting="0"/>
  <w:mirrorMargins/>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Palatino" w:hAnsi="Palatino" w:eastAsia="Times New Roman" w:cs="Palatino"/>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810" w:leader="none"/>
        <w:tab w:val="left" w:pos="990" w:leader="none"/>
        <w:tab w:val="right" w:pos="10296" w:leader="underscore"/>
      </w:tabs>
      <w:spacing w:before="240" w:after="120"/>
      <w:ind w:hanging="0" w:start="360" w:end="0"/>
      <w:outlineLvl w:val="0"/>
    </w:pPr>
    <w:rPr>
      <w:rFonts w:ascii="Frutiger 45 Light" w:hAnsi="Frutiger 45 Light" w:cs="Frutiger 45 Light"/>
      <w:b/>
      <w:color w:val="0000FF"/>
      <w:kern w:val="2"/>
      <w:sz w:val="28"/>
    </w:rPr>
  </w:style>
  <w:style w:type="paragraph" w:styleId="Heading2">
    <w:name w:val="heading 2"/>
    <w:basedOn w:val="Normal"/>
    <w:next w:val="Normal"/>
    <w:qFormat/>
    <w:pPr>
      <w:keepNext w:val="true"/>
      <w:numPr>
        <w:ilvl w:val="1"/>
        <w:numId w:val="1"/>
      </w:numPr>
      <w:spacing w:before="60" w:after="120"/>
      <w:outlineLvl w:val="1"/>
    </w:pPr>
    <w:rPr>
      <w:rFonts w:ascii="Frutiger 45 Light" w:hAnsi="Frutiger 45 Light" w:cs="Frutiger 45 Light"/>
      <w:b/>
      <w:color w:val="0000FF"/>
      <w:sz w:val="24"/>
    </w:rPr>
  </w:style>
  <w:style w:type="paragraph" w:styleId="Heading3">
    <w:name w:val="heading 3"/>
    <w:basedOn w:val="Normal"/>
    <w:next w:val="Normal"/>
    <w:qFormat/>
    <w:pPr>
      <w:keepNext w:val="true"/>
      <w:numPr>
        <w:ilvl w:val="2"/>
        <w:numId w:val="1"/>
      </w:numPr>
      <w:spacing w:before="240" w:after="120"/>
      <w:ind w:hanging="360" w:start="720" w:end="0"/>
      <w:outlineLvl w:val="2"/>
    </w:pPr>
    <w:rPr>
      <w:rFonts w:ascii="Frutiger 45 Light" w:hAnsi="Frutiger 45 Light" w:cs="Frutiger 45 Light"/>
      <w:b/>
      <w:color w:val="0000FF"/>
    </w:rPr>
  </w:style>
  <w:style w:type="paragraph" w:styleId="Heading4">
    <w:name w:val="heading 4"/>
    <w:basedOn w:val="Normal"/>
    <w:next w:val="Normal"/>
    <w:qFormat/>
    <w:pPr>
      <w:keepNext w:val="true"/>
      <w:numPr>
        <w:ilvl w:val="3"/>
        <w:numId w:val="1"/>
      </w:numPr>
      <w:spacing w:before="60" w:after="120"/>
      <w:outlineLvl w:val="3"/>
    </w:pPr>
    <w:rPr>
      <w:rFonts w:ascii="Frutiger 45 Light" w:hAnsi="Frutiger 45 Light" w:cs="Frutiger 45 Light"/>
      <w:i/>
      <w:color w:val="0000FF"/>
    </w:rPr>
  </w:style>
  <w:style w:type="paragraph" w:styleId="Heading5">
    <w:name w:val="heading 5"/>
    <w:basedOn w:val="Normal"/>
    <w:next w:val="Normal"/>
    <w:qFormat/>
    <w:pPr>
      <w:keepNext w:val="true"/>
      <w:numPr>
        <w:ilvl w:val="4"/>
        <w:numId w:val="1"/>
      </w:numPr>
      <w:spacing w:before="60" w:after="120"/>
      <w:outlineLvl w:val="4"/>
    </w:pPr>
    <w:rPr>
      <w:rFonts w:ascii="Frutiger 45 Light" w:hAnsi="Frutiger 45 Light" w:cs="Frutiger 45 Light"/>
      <w:i/>
    </w:rPr>
  </w:style>
  <w:style w:type="paragraph" w:styleId="Heading6">
    <w:name w:val="heading 6"/>
    <w:basedOn w:val="Normal"/>
    <w:next w:val="Normal"/>
    <w:qFormat/>
    <w:pPr>
      <w:numPr>
        <w:ilvl w:val="5"/>
        <w:numId w:val="1"/>
      </w:numPr>
      <w:spacing w:before="240" w:after="120"/>
      <w:outlineLvl w:val="5"/>
    </w:pPr>
    <w:rPr>
      <w:rFonts w:ascii="Frutiger 45 Light" w:hAnsi="Frutiger 45 Light" w:cs="Frutiger 45 Light"/>
      <w:i/>
      <w:sz w:val="22"/>
    </w:rPr>
  </w:style>
  <w:style w:type="paragraph" w:styleId="Heading7">
    <w:name w:val="heading 7"/>
    <w:basedOn w:val="Normal"/>
    <w:next w:val="Normal"/>
    <w:qFormat/>
    <w:pPr>
      <w:numPr>
        <w:ilvl w:val="6"/>
        <w:numId w:val="1"/>
      </w:numPr>
      <w:spacing w:before="240" w:after="120"/>
      <w:outlineLvl w:val="6"/>
    </w:pPr>
    <w:rPr>
      <w:rFonts w:ascii="Frutiger 45 Light" w:hAnsi="Frutiger 45 Light" w:cs="Frutiger 45 Light"/>
    </w:rPr>
  </w:style>
  <w:style w:type="paragraph" w:styleId="Heading8">
    <w:name w:val="heading 8"/>
    <w:basedOn w:val="Normal"/>
    <w:next w:val="Normal"/>
    <w:qFormat/>
    <w:pPr>
      <w:numPr>
        <w:ilvl w:val="7"/>
        <w:numId w:val="1"/>
      </w:numPr>
      <w:spacing w:before="240" w:after="120"/>
      <w:outlineLvl w:val="7"/>
    </w:pPr>
    <w:rPr>
      <w:rFonts w:ascii="Frutiger 45 Light" w:hAnsi="Frutiger 45 Light" w:cs="Frutiger 45 Light"/>
      <w:i/>
    </w:rPr>
  </w:style>
  <w:style w:type="paragraph" w:styleId="Heading9">
    <w:name w:val="heading 9"/>
    <w:basedOn w:val="Normal"/>
    <w:next w:val="Normal"/>
    <w:qFormat/>
    <w:pPr>
      <w:numPr>
        <w:ilvl w:val="8"/>
        <w:numId w:val="1"/>
      </w:numPr>
      <w:spacing w:before="240" w:after="120"/>
      <w:outlineLvl w:val="8"/>
    </w:pPr>
    <w:rPr>
      <w:rFonts w:ascii="Frutiger 45 Light" w:hAnsi="Frutiger 45 Light" w:cs="Frutiger 45 Light"/>
      <w:b/>
      <w:i/>
      <w:sz w:val="18"/>
    </w:rPr>
  </w:style>
  <w:style w:type="character" w:styleId="WW8Num2z0">
    <w:name w:val="WW8Num2z0"/>
    <w:qFormat/>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color w:val="0066CC"/>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Wingdings" w:hAnsi="Wingdings" w:cs="Wingdings"/>
      <w:sz w:val="16"/>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style>
  <w:style w:type="character" w:styleId="WW8Num34z2">
    <w:name w:val="WW8Num34z2"/>
    <w:qFormat/>
    <w:rPr>
      <w:rFonts w:ascii="Courier New" w:hAnsi="Courier New" w:cs="Courier New"/>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Symbol" w:hAnsi="Symbol" w:cs="Symbol"/>
      <w:color w:val="0066CC"/>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9z0">
    <w:name w:val="WW8Num39z0"/>
    <w:qFormat/>
    <w:rPr>
      <w:rFonts w:ascii="Wingdings" w:hAnsi="Wingdings" w:cs="Wingdings"/>
      <w:color w:val="999999"/>
      <w:sz w:val="16"/>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style>
  <w:style w:type="character" w:styleId="WW8Num54z0">
    <w:name w:val="WW8Num54z0"/>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style>
  <w:style w:type="character" w:styleId="WW8Num57z0">
    <w:name w:val="WW8Num57z0"/>
    <w:qFormat/>
    <w:rPr>
      <w:rFonts w:ascii="Wingdings" w:hAnsi="Wingdings" w:cs="Wingdings"/>
    </w:rPr>
  </w:style>
  <w:style w:type="character" w:styleId="WW8Num58z0">
    <w:name w:val="WW8Num58z0"/>
    <w:qFormat/>
    <w:rPr>
      <w:rFonts w:ascii="Wingdings" w:hAnsi="Wingdings" w:cs="Wingdings"/>
    </w:rPr>
  </w:style>
  <w:style w:type="character" w:styleId="WW8Num58z1">
    <w:name w:val="WW8Num58z1"/>
    <w:qFormat/>
    <w:rPr>
      <w:rFonts w:ascii="Courier New" w:hAnsi="Courier New" w:cs="Courier New"/>
    </w:rPr>
  </w:style>
  <w:style w:type="character" w:styleId="WW8Num58z3">
    <w:name w:val="WW8Num58z3"/>
    <w:qFormat/>
    <w:rPr>
      <w:rFonts w:ascii="Symbol" w:hAnsi="Symbol" w:cs="Symbol"/>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rFonts w:ascii="Wingdings" w:hAnsi="Wingdings" w:cs="Wingdings"/>
      <w:sz w:val="16"/>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3z3">
    <w:name w:val="WW8Num63z3"/>
    <w:qFormat/>
    <w:rPr>
      <w:rFonts w:ascii="Symbol" w:hAnsi="Symbol" w:cs="Symbol"/>
    </w:rPr>
  </w:style>
  <w:style w:type="character" w:styleId="WW8Num64z0">
    <w:name w:val="WW8Num64z0"/>
    <w:qFormat/>
    <w:rPr>
      <w:rFonts w:ascii="Symbol" w:hAnsi="Symbol" w:cs="Symbol"/>
    </w:rPr>
  </w:style>
  <w:style w:type="character" w:styleId="WW8Num64z1">
    <w:name w:val="WW8Num64z1"/>
    <w:qFormat/>
    <w:rPr>
      <w:rFonts w:ascii="Courier New" w:hAnsi="Courier New" w:cs="Courier New"/>
    </w:rPr>
  </w:style>
  <w:style w:type="character" w:styleId="WW8Num64z2">
    <w:name w:val="WW8Num64z2"/>
    <w:qFormat/>
    <w:rPr>
      <w:rFonts w:ascii="Wingdings" w:hAnsi="Wingdings" w:cs="Wingdings"/>
    </w:rPr>
  </w:style>
  <w:style w:type="character" w:styleId="WW8Num65z0">
    <w:name w:val="WW8Num65z0"/>
    <w:qFormat/>
    <w:rPr>
      <w:rFonts w:ascii="Wingdings" w:hAnsi="Wingdings" w:cs="Wingdings"/>
      <w:color w:val="0066CC"/>
    </w:rPr>
  </w:style>
  <w:style w:type="character" w:styleId="WW8Num65z1">
    <w:name w:val="WW8Num65z1"/>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8z0">
    <w:name w:val="WW8Num78z0"/>
    <w:qFormat/>
    <w:rPr>
      <w:rFonts w:ascii="Wingdings" w:hAnsi="Wingdings" w:cs="Wingdings"/>
      <w:color w:val="999999"/>
      <w:sz w:val="16"/>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style>
  <w:style w:type="character" w:styleId="WW8Num79z1">
    <w:name w:val="WW8Num79z1"/>
    <w:qFormat/>
    <w:rPr>
      <w:rFonts w:ascii="Wingdings" w:hAnsi="Wingdings" w:cs="Wingdings"/>
    </w:rPr>
  </w:style>
  <w:style w:type="character" w:styleId="WW8Num80z0">
    <w:name w:val="WW8Num80z0"/>
    <w:qFormat/>
    <w:rPr/>
  </w:style>
  <w:style w:type="character" w:styleId="WW8Num81z0">
    <w:name w:val="WW8Num81z0"/>
    <w:qFormat/>
    <w:rPr/>
  </w:style>
  <w:style w:type="character" w:styleId="WW8Num82z0">
    <w:name w:val="WW8Num82z0"/>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Frutiger 55 Roman" w:hAnsi="Frutiger 55 Roman" w:cs="Frutiger 55 Roman"/>
      <w:b/>
      <w:color w:val="808080"/>
      <w:sz w:val="18"/>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IndexLink">
    <w:name w:val="Index Link"/>
    <w:qFormat/>
    <w:rPr/>
  </w:style>
  <w:style w:type="paragraph" w:styleId="Heading">
    <w:name w:val="Heading"/>
    <w:basedOn w:val="Normal"/>
    <w:next w:val="BodyText"/>
    <w:qFormat/>
    <w:pPr>
      <w:jc w:val="center"/>
    </w:pPr>
    <w:rPr>
      <w:rFonts w:ascii="Frutiger 55 Roman" w:hAnsi="Frutiger 55 Roman" w:cs="Frutiger 55 Roman"/>
      <w:sz w:val="56"/>
    </w:rPr>
  </w:style>
  <w:style w:type="paragraph" w:styleId="BodyText">
    <w:name w:val="Body Text"/>
    <w:basedOn w:val="Normal"/>
    <w:pPr>
      <w:numPr>
        <w:ilvl w:val="0"/>
        <w:numId w:val="6"/>
      </w:numPr>
      <w:spacing w:before="60" w:after="60"/>
    </w:pPr>
    <w:rPr>
      <w:rFonts w:ascii="Palatino" w:hAnsi="Palatino" w:cs="Palatino"/>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4" w:space="1" w:color="999999"/>
        <w:left w:val="single" w:sz="4" w:space="4" w:color="999999"/>
        <w:bottom w:val="single" w:sz="4" w:space="1" w:color="999999"/>
        <w:right w:val="single" w:sz="4" w:space="4" w:color="999999"/>
      </w:pBdr>
      <w:shd w:fill="A6A6A6" w:val="clear"/>
      <w:tabs>
        <w:tab w:val="clear" w:pos="720"/>
        <w:tab w:val="center" w:pos="4153" w:leader="none"/>
        <w:tab w:val="right" w:pos="8306" w:leader="none"/>
      </w:tabs>
      <w:spacing w:before="60" w:after="60"/>
    </w:pPr>
    <w:rPr>
      <w:rFonts w:ascii="Frutiger 55 Roman" w:hAnsi="Frutiger 55 Roman" w:cs="Frutiger 55 Roman"/>
      <w:b/>
      <w:color w:val="FFFFFF"/>
    </w:rPr>
  </w:style>
  <w:style w:type="paragraph" w:styleId="Footer">
    <w:name w:val="footer"/>
    <w:basedOn w:val="Normal"/>
    <w:pPr>
      <w:tabs>
        <w:tab w:val="clear" w:pos="720"/>
        <w:tab w:val="center" w:pos="4153" w:leader="none"/>
        <w:tab w:val="right" w:pos="8306" w:leader="none"/>
      </w:tabs>
    </w:pPr>
    <w:rPr>
      <w:rFonts w:ascii="Frutiger 55 Roman" w:hAnsi="Frutiger 55 Roman" w:cs="Frutiger 55 Roman"/>
      <w:sz w:val="16"/>
    </w:rPr>
  </w:style>
  <w:style w:type="paragraph" w:styleId="BodyTextIndent">
    <w:name w:val="Body Text Indent"/>
    <w:basedOn w:val="Normal"/>
    <w:pPr>
      <w:ind w:hanging="0" w:start="432" w:end="0"/>
    </w:pPr>
    <w:rPr>
      <w:lang w:val="en-US"/>
    </w:rPr>
  </w:style>
  <w:style w:type="paragraph" w:styleId="TOC1">
    <w:name w:val="toc 1"/>
    <w:basedOn w:val="Normal"/>
    <w:next w:val="Normal"/>
    <w:pPr>
      <w:spacing w:before="120" w:after="120"/>
    </w:pPr>
    <w:rPr>
      <w:rFonts w:ascii="Frutiger 55 Roman" w:hAnsi="Frutiger 55 Roman" w:cs="Frutiger 55 Roman"/>
      <w:b/>
      <w:bCs/>
      <w:caps/>
      <w:color w:val="808080"/>
      <w:szCs w:val="24"/>
    </w:rPr>
  </w:style>
  <w:style w:type="paragraph" w:styleId="FootnoteText">
    <w:name w:val="footnote text"/>
    <w:basedOn w:val="Normal"/>
    <w:pPr/>
    <w:rPr/>
  </w:style>
  <w:style w:type="paragraph" w:styleId="infoblue">
    <w:name w:val="infoblue"/>
    <w:basedOn w:val="Normal"/>
    <w:qFormat/>
    <w:pPr>
      <w:spacing w:lineRule="atLeast" w:line="240" w:before="0" w:after="120"/>
      <w:ind w:hanging="0" w:start="720" w:end="0"/>
    </w:pPr>
    <w:rPr>
      <w:rFonts w:ascii="Times New Roman" w:hAnsi="Times New Roman" w:eastAsia="Arial Unicode MS" w:cs="Times New Roman"/>
      <w:i/>
      <w:iCs/>
      <w:color w:val="0000FF"/>
    </w:rPr>
  </w:style>
  <w:style w:type="paragraph" w:styleId="BodyText3">
    <w:name w:val="Body Text 3"/>
    <w:basedOn w:val="Normal"/>
    <w:qFormat/>
    <w:pPr/>
    <w:rPr>
      <w:rFonts w:ascii="Enron Neuropol;Courier New" w:hAnsi="Enron Neuropol;Courier New" w:cs="Enron Neuropol;Courier New"/>
      <w:color w:val="999999"/>
      <w:sz w:val="96"/>
    </w:rPr>
  </w:style>
  <w:style w:type="paragraph" w:styleId="TOC2">
    <w:name w:val="toc 2"/>
    <w:basedOn w:val="Normal"/>
    <w:next w:val="Normal"/>
    <w:pPr>
      <w:spacing w:before="0" w:after="0"/>
      <w:ind w:hanging="0" w:start="200" w:end="0"/>
    </w:pPr>
    <w:rPr>
      <w:rFonts w:ascii="Frutiger 55 Roman" w:hAnsi="Frutiger 55 Roman" w:cs="Frutiger 55 Roman"/>
      <w:smallCaps/>
      <w:szCs w:val="24"/>
    </w:rPr>
  </w:style>
  <w:style w:type="paragraph" w:styleId="TOC3">
    <w:name w:val="toc 3"/>
    <w:basedOn w:val="Normal"/>
    <w:next w:val="Normal"/>
    <w:pPr>
      <w:spacing w:before="0" w:after="0"/>
      <w:ind w:hanging="0" w:start="400" w:end="0"/>
    </w:pPr>
    <w:rPr>
      <w:rFonts w:ascii="Frutiger 55 Roman" w:hAnsi="Frutiger 55 Roman" w:cs="Frutiger 55 Roman"/>
      <w:i/>
      <w:iCs/>
      <w:szCs w:val="24"/>
    </w:rPr>
  </w:style>
  <w:style w:type="paragraph" w:styleId="TOC4">
    <w:name w:val="toc 4"/>
    <w:basedOn w:val="Normal"/>
    <w:next w:val="Normal"/>
    <w:pPr>
      <w:spacing w:before="0" w:after="0"/>
      <w:ind w:hanging="0" w:start="600" w:end="0"/>
    </w:pPr>
    <w:rPr>
      <w:rFonts w:ascii="Frutiger 55 Roman" w:hAnsi="Frutiger 55 Roman" w:cs="Frutiger 55 Roman"/>
      <w:szCs w:val="21"/>
    </w:rPr>
  </w:style>
  <w:style w:type="paragraph" w:styleId="BodyTextSubheading">
    <w:name w:val="Body Text Subheading"/>
    <w:basedOn w:val="Normal"/>
    <w:qFormat/>
    <w:pPr>
      <w:tabs>
        <w:tab w:val="clear" w:pos="720"/>
        <w:tab w:val="left" w:pos="360" w:leader="none"/>
      </w:tabs>
    </w:pPr>
    <w:rPr>
      <w:rFonts w:ascii="Frutiger 55 Roman" w:hAnsi="Frutiger 55 Roman" w:cs="Frutiger 55 Roman"/>
      <w:b/>
      <w:bCs/>
    </w:rPr>
  </w:style>
  <w:style w:type="paragraph" w:styleId="TextFront">
    <w:name w:val="Text Front"/>
    <w:basedOn w:val="Normal"/>
    <w:qFormat/>
    <w:pPr/>
    <w:rPr>
      <w:rFonts w:ascii="Frutiger 55 Roman" w:hAnsi="Frutiger 55 Roman" w:cs="Frutiger 55 Roman"/>
      <w:sz w:val="18"/>
    </w:rPr>
  </w:style>
  <w:style w:type="paragraph" w:styleId="TextFrontBold">
    <w:name w:val="Text Front Bold"/>
    <w:basedOn w:val="TextFront"/>
    <w:qFormat/>
    <w:pPr>
      <w:jc w:val="end"/>
    </w:pPr>
    <w:rPr>
      <w:b/>
    </w:rPr>
  </w:style>
  <w:style w:type="paragraph" w:styleId="TOC5">
    <w:name w:val="toc 5"/>
    <w:basedOn w:val="Normal"/>
    <w:next w:val="Normal"/>
    <w:pPr>
      <w:spacing w:before="0" w:after="0"/>
      <w:ind w:hanging="0" w:start="800" w:end="0"/>
    </w:pPr>
    <w:rPr>
      <w:rFonts w:ascii="Frutiger 55 Roman" w:hAnsi="Frutiger 55 Roman" w:cs="Frutiger 55 Roman"/>
      <w:szCs w:val="21"/>
    </w:rPr>
  </w:style>
  <w:style w:type="paragraph" w:styleId="TOC6">
    <w:name w:val="toc 6"/>
    <w:basedOn w:val="Normal"/>
    <w:next w:val="Normal"/>
    <w:pPr>
      <w:spacing w:before="0" w:after="0"/>
      <w:ind w:hanging="0" w:start="1000" w:end="0"/>
    </w:pPr>
    <w:rPr>
      <w:rFonts w:ascii="Frutiger 55 Roman" w:hAnsi="Frutiger 55 Roman" w:cs="Frutiger 55 Roman"/>
      <w:szCs w:val="21"/>
    </w:rPr>
  </w:style>
  <w:style w:type="paragraph" w:styleId="TOC7">
    <w:name w:val="toc 7"/>
    <w:basedOn w:val="Normal"/>
    <w:next w:val="Normal"/>
    <w:pPr>
      <w:spacing w:before="0" w:after="0"/>
      <w:ind w:hanging="0" w:start="1200" w:end="0"/>
    </w:pPr>
    <w:rPr>
      <w:rFonts w:ascii="Frutiger 55 Roman" w:hAnsi="Frutiger 55 Roman" w:cs="Frutiger 55 Roman"/>
      <w:szCs w:val="21"/>
    </w:rPr>
  </w:style>
  <w:style w:type="paragraph" w:styleId="TOC8">
    <w:name w:val="toc 8"/>
    <w:basedOn w:val="Normal"/>
    <w:next w:val="Normal"/>
    <w:pPr>
      <w:spacing w:before="0" w:after="0"/>
      <w:ind w:hanging="0" w:start="1400" w:end="0"/>
    </w:pPr>
    <w:rPr>
      <w:rFonts w:ascii="Frutiger 55 Roman" w:hAnsi="Frutiger 55 Roman" w:cs="Frutiger 55 Roman"/>
      <w:szCs w:val="21"/>
    </w:rPr>
  </w:style>
  <w:style w:type="paragraph" w:styleId="TOC9">
    <w:name w:val="toc 9"/>
    <w:basedOn w:val="Normal"/>
    <w:next w:val="Normal"/>
    <w:pPr>
      <w:spacing w:before="0" w:after="0"/>
      <w:ind w:hanging="0" w:start="1600" w:end="0"/>
    </w:pPr>
    <w:rPr>
      <w:rFonts w:ascii="Frutiger 55 Roman" w:hAnsi="Frutiger 55 Roman" w:cs="Frutiger 55 Roman"/>
      <w:szCs w:val="21"/>
    </w:rPr>
  </w:style>
  <w:style w:type="paragraph" w:styleId="Hidden">
    <w:name w:val="Hidden"/>
    <w:basedOn w:val="Normal"/>
    <w:qFormat/>
    <w:pPr>
      <w:spacing w:before="0" w:after="0"/>
    </w:pPr>
    <w:rPr>
      <w:rFonts w:ascii="Times New Roman" w:hAnsi="Times New Roman" w:cs="Times New Roman"/>
      <w:i/>
      <w:vanish/>
      <w:color w:val="FF0000"/>
      <w:lang w:val="en-GB"/>
    </w:rPr>
  </w:style>
  <w:style w:type="paragraph" w:styleId="BodyText2">
    <w:name w:val="Body Text 2"/>
    <w:basedOn w:val="Normal"/>
    <w:qFormat/>
    <w:pPr/>
    <w:rPr>
      <w:i/>
      <w:iCs/>
    </w:rPr>
  </w:style>
  <w:style w:type="paragraph" w:styleId="CopyrightText">
    <w:name w:val="Copyright Text"/>
    <w:basedOn w:val="Normal"/>
    <w:qFormat/>
    <w:pPr/>
    <w:rPr>
      <w:sz w:val="16"/>
    </w:rPr>
  </w:style>
  <w:style w:type="paragraph" w:styleId="BodyTextIndent2">
    <w:name w:val="Body Text Indent 2"/>
    <w:basedOn w:val="Normal"/>
    <w:qFormat/>
    <w:pPr>
      <w:ind w:hanging="0" w:start="720" w:end="0"/>
    </w:pPr>
    <w:rPr/>
  </w:style>
  <w:style w:type="paragraph" w:styleId="TableText">
    <w:name w:val="TableText"/>
    <w:basedOn w:val="TextFront"/>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oleObject" Target="embeddings/oleObject1.bin"/><Relationship Id="rId8" Type="http://schemas.openxmlformats.org/officeDocument/2006/relationships/image" Target="media/image4.wmf"/><Relationship Id="rId9" Type="http://schemas.openxmlformats.org/officeDocument/2006/relationships/oleObject" Target="embeddings/oleObject2.bin"/><Relationship Id="rId10" Type="http://schemas.openxmlformats.org/officeDocument/2006/relationships/image" Target="media/image5.wmf"/><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3.jpe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Inception_light_branded.dot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2001-10-05T14:38:00Z</dcterms:created>
  <dc:creator>J Gamblin</dc:creator>
  <dc:description/>
  <dc:language>en-CA</dc:language>
  <cp:lastModifiedBy>\</cp:lastModifiedBy>
  <cp:lastPrinted>2001-10-04T15:14:00Z</cp:lastPrinted>
  <dcterms:modified xsi:type="dcterms:W3CDTF">2001-10-05T14:38:00Z</dcterms:modified>
  <cp:revision>2</cp:revision>
  <dc:subject>Project Phase: Inception</dc:subject>
  <dc:title>Inception-Light (branded) Template</dc:title>
</cp:coreProperties>
</file>