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fldChar w:fldCharType="begin"/>
      </w:r>
      <w:r>
        <w:rPr>
          <w:sz w:val="24"/>
          <w:rFonts w:cs="Georgia" w:ascii="Georgia" w:hAnsi="Georgia"/>
        </w:rPr>
        <w:instrText xml:space="preserve"> DATE \@"MMMM\ d', 'yyyy" </w:instrText>
      </w:r>
      <w:r>
        <w:rPr>
          <w:sz w:val="24"/>
          <w:rFonts w:cs="Georgia" w:ascii="Georgia" w:hAnsi="Georgia"/>
        </w:rPr>
        <w:fldChar w:fldCharType="separate"/>
      </w:r>
      <w:r>
        <w:rPr>
          <w:sz w:val="24"/>
          <w:rFonts w:cs="Georgia" w:ascii="Georgia" w:hAnsi="Georgia"/>
        </w:rPr>
        <w:t>September 28, 2025</w:t>
      </w:r>
      <w:r>
        <w:rPr>
          <w:sz w:val="24"/>
          <w:rFonts w:cs="Georgia" w:ascii="Georgia" w:hAnsi="Georgia"/>
        </w:rPr>
        <w:fldChar w:fldCharType="end"/>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The Honorable David D. Spears</w:t>
      </w:r>
    </w:p>
    <w:p>
      <w:pPr>
        <w:pStyle w:val="Normal"/>
        <w:rPr>
          <w:rFonts w:ascii="Georgia" w:hAnsi="Georgia" w:cs="Georgia"/>
          <w:sz w:val="24"/>
        </w:rPr>
      </w:pPr>
      <w:r>
        <w:rPr>
          <w:rFonts w:cs="Georgia" w:ascii="Georgia" w:hAnsi="Georgia"/>
          <w:sz w:val="24"/>
        </w:rPr>
        <w:t>Commissioner</w:t>
      </w:r>
    </w:p>
    <w:p>
      <w:pPr>
        <w:pStyle w:val="Normal"/>
        <w:rPr>
          <w:rFonts w:ascii="Georgia" w:hAnsi="Georgia" w:cs="Georgia"/>
          <w:sz w:val="24"/>
        </w:rPr>
      </w:pPr>
      <w:r>
        <w:rPr>
          <w:rFonts w:cs="Georgia" w:ascii="Georgia" w:hAnsi="Georgia"/>
          <w:sz w:val="24"/>
        </w:rPr>
        <w:t>Commodity Futures Trading Commission</w:t>
      </w:r>
    </w:p>
    <w:p>
      <w:pPr>
        <w:pStyle w:val="Normal"/>
        <w:rPr/>
      </w:pPr>
      <w:r>
        <w:rPr>
          <w:rFonts w:cs="Georgia" w:ascii="Georgia" w:hAnsi="Georgia"/>
          <w:sz w:val="24"/>
        </w:rPr>
        <w:t>1155 21</w:t>
      </w:r>
      <w:r>
        <w:rPr>
          <w:rFonts w:cs="Georgia" w:ascii="Georgia" w:hAnsi="Georgia"/>
          <w:sz w:val="24"/>
          <w:vertAlign w:val="superscript"/>
        </w:rPr>
        <w:t>st</w:t>
      </w:r>
      <w:r>
        <w:rPr>
          <w:rFonts w:cs="Georgia" w:ascii="Georgia" w:hAnsi="Georgia"/>
          <w:sz w:val="24"/>
        </w:rPr>
        <w:t xml:space="preserve"> Street, N.W.</w:t>
      </w:r>
    </w:p>
    <w:p>
      <w:pPr>
        <w:pStyle w:val="Normal"/>
        <w:rPr>
          <w:rFonts w:ascii="Georgia" w:hAnsi="Georgia" w:cs="Georgia"/>
          <w:sz w:val="24"/>
        </w:rPr>
      </w:pPr>
      <w:r>
        <w:rPr>
          <w:rFonts w:cs="Georgia" w:ascii="Georgia" w:hAnsi="Georgia"/>
          <w:sz w:val="24"/>
        </w:rPr>
        <w:t>Washington, D.C.   20581</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Dear Commissioner Spears:</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I wanted to thank you again for taking the time on October 6 to meet with myself and other Enron representatives to discuss the regulatory and legislative outlook on CFTC and over-the-counter (OTC) derivatives issues.    </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We appreciated your thoughts on the anticipated release of the President’s Working Group on Financial Markets report on OTC derivatives and on CFTC re-authorization legislation.   We were encouraged to hear that the trend at the current Commission is away from “hands-on” regulation and toward a general oversight role.   </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hope we can count on your support for Enron’s position -- no additional regulation of OTC derivatives -- as regulators and Congress move forward in looking at these markets.   As the President’s Working Group nears completion of its report, we would urge the CFTC to oppose efforts by other financial regulators to include in the report recommendations for regulatory requirements on OTC participants.</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would also like to renew my invitation to you to visit our headquarters in Houston to view first-hand our trading floors and meet with Enron employees about the innovative commodity and risk management products we offer our customers.    Our Washington, D.C. office will communicate with your staff to arrange a visit in the near future.</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look forward to working with you in the future on these important issues. If we can provide you with additional information or assistance concerning Enron’s businesses or the energy derivatives and commodity markets, please contact Jeff Keeler in Enron’s Washington, D.C. office at 202-466-9157.</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Sincerely,</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Kevin P. Hannon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Letterhead (Blank)</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1999-10-22T15:03:00Z</dcterms:created>
  <dc:creator>Jeffrey Keeler</dc:creator>
  <dc:description/>
  <dc:language>en-CA</dc:language>
  <cp:lastModifiedBy>Jeffrey Keeler</cp:lastModifiedBy>
  <cp:lastPrinted>1999-10-25T16:18:00Z</cp:lastPrinted>
  <dcterms:modified xsi:type="dcterms:W3CDTF">1999-10-25T17:54:00Z</dcterms:modified>
  <cp:revision>8</cp:revision>
  <dc:subject/>
  <dc:title>November 30, 1998</dc:title>
</cp:coreProperties>
</file>