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
          <w:lang w:val="en-CA" w:eastAsia="en-CA"/>
        </w:rPr>
      </w:pPr>
      <w:r>
        <w:rPr>
          <w:sz w:val="2"/>
          <w:lang w:val="en-CA" w:eastAsia="en-CA"/>
        </w:rPr>
      </w:r>
      <w:bookmarkStart w:id="0" w:name="Letterhead"/>
      <w:bookmarkStart w:id="1" w:name="Letterhead"/>
      <w:bookmarkEnd w:id="1"/>
      <w:r>
        <mc:AlternateContent>
          <mc:Choice Requires="wps">
            <w:drawing>
              <wp:anchor behindDoc="0" distT="0" distB="0" distL="114935" distR="114935" simplePos="0" locked="0" layoutInCell="0" allowOverlap="1" relativeHeight="3">
                <wp:simplePos x="0" y="0"/>
                <wp:positionH relativeFrom="page">
                  <wp:posOffset>237490</wp:posOffset>
                </wp:positionH>
                <wp:positionV relativeFrom="page">
                  <wp:posOffset>381000</wp:posOffset>
                </wp:positionV>
                <wp:extent cx="7361555" cy="1649095"/>
                <wp:effectExtent l="0" t="0" r="0" b="0"/>
                <wp:wrapTopAndBottom/>
                <wp:docPr id="1" name="Frame1"/>
                <a:graphic xmlns:a="http://schemas.openxmlformats.org/drawingml/2006/main">
                  <a:graphicData uri="http://schemas.microsoft.com/office/word/2010/wordprocessingShape">
                    <wps:wsp>
                      <wps:cNvSpPr txBox="1"/>
                      <wps:spPr>
                        <a:xfrm>
                          <a:off x="0" y="0"/>
                          <a:ext cx="7361555" cy="1649095"/>
                        </a:xfrm>
                        <a:prstGeom prst="rect"/>
                        <a:solidFill>
                          <a:srgbClr val="FFFFFF"/>
                        </a:solidFill>
                      </wps:spPr>
                      <wps:txbx>
                        <w:txbxContent>
                          <w:p>
                            <w:pPr>
                              <w:pStyle w:val="Normal"/>
                              <w:rPr>
                                <w:lang w:val="en-CA" w:eastAsia="en-CA"/>
                              </w:rPr>
                            </w:pPr>
                            <w:r>
                              <w:rPr>
                                <w:lang w:val="en-CA" w:eastAsia="en-CA"/>
                              </w:rPr>
                            </w:r>
                          </w:p>
                        </w:txbxContent>
                      </wps:txbx>
                      <wps:bodyPr anchor="t" lIns="64135" tIns="64135" rIns="64135" bIns="64135">
                        <a:noAutofit/>
                      </wps:bodyPr>
                    </wps:wsp>
                  </a:graphicData>
                </a:graphic>
              </wp:anchor>
            </w:drawing>
          </mc:Choice>
          <mc:Fallback>
            <w:pict>
              <v:rect fillcolor="#FFFFFF" style="position:absolute;rotation:-0;width:579.65pt;height:129.85pt;mso-wrap-distance-left:9.05pt;mso-wrap-distance-right:9.05pt;mso-wrap-distance-top:0pt;mso-wrap-distance-bottom:0pt;margin-top:30pt;mso-position-vertical-relative:page;margin-left:18.7pt;mso-position-horizontal-relative:page">
                <v:textbox inset="0.0701388888888889in,0.0701388888888889in,0.0701388888888889in,0.0701388888888889in">
                  <w:txbxContent>
                    <w:p>
                      <w:pPr>
                        <w:pStyle w:val="Normal"/>
                        <w:rPr>
                          <w:lang w:val="en-CA" w:eastAsia="en-CA"/>
                        </w:rPr>
                      </w:pPr>
                      <w:r>
                        <w:rPr>
                          <w:lang w:val="en-CA" w:eastAsia="en-CA"/>
                        </w:rPr>
                      </w:r>
                    </w:p>
                  </w:txbxContent>
                </v:textbox>
                <w10:wrap type="topAndBottom"/>
              </v:rect>
            </w:pict>
          </mc:Fallback>
        </mc:AlternateContent>
      </w:r>
    </w:p>
    <w:p>
      <w:pPr>
        <w:pStyle w:val="Normal"/>
        <w:spacing w:before="600" w:after="120"/>
        <w:jc w:val="center"/>
        <w:rPr/>
      </w:pPr>
      <w:r>
        <w:rPr/>
        <w:t>MEMORANDUM</w:t>
      </w:r>
      <w:r>
        <mc:AlternateContent>
          <mc:Choice Requires="wps">
            <w:drawing>
              <wp:anchor behindDoc="0" distT="118745" distB="118745" distL="118745" distR="118745" simplePos="0" locked="0" layoutInCell="0" allowOverlap="1" relativeHeight="2">
                <wp:simplePos x="0" y="0"/>
                <wp:positionH relativeFrom="page">
                  <wp:posOffset>512445</wp:posOffset>
                </wp:positionH>
                <wp:positionV relativeFrom="page">
                  <wp:posOffset>2058035</wp:posOffset>
                </wp:positionV>
                <wp:extent cx="680085" cy="965200"/>
                <wp:effectExtent l="0" t="0" r="0" b="0"/>
                <wp:wrapTopAndBottom/>
                <wp:docPr id="2" name="Frame2"/>
                <a:graphic xmlns:a="http://schemas.openxmlformats.org/drawingml/2006/main">
                  <a:graphicData uri="http://schemas.microsoft.com/office/word/2010/wordprocessingShape">
                    <wps:wsp>
                      <wps:cNvSpPr txBox="1"/>
                      <wps:spPr>
                        <a:xfrm>
                          <a:off x="0" y="0"/>
                          <a:ext cx="680085" cy="965200"/>
                        </a:xfrm>
                        <a:prstGeom prst="rect"/>
                        <a:solidFill>
                          <a:srgbClr val="FFFFFF">
                            <a:alpha val="0"/>
                          </a:srgbClr>
                        </a:solidFill>
                      </wps:spPr>
                      <wps:txbx>
                        <w:txbxContent>
                          <w:p>
                            <w:pPr>
                              <w:pStyle w:val="DirectDial"/>
                              <w:rPr/>
                            </w:pPr>
                            <w:bookmarkStart w:id="2" w:name="Sender"/>
                            <w:bookmarkEnd w:id="2"/>
                            <w:r>
                              <w:rPr/>
                              <w:fldChar w:fldCharType="begin"/>
                            </w:r>
                            <w:r>
                              <w:rPr/>
                              <w:instrText xml:space="preserve"> DOCPROPERTY "Sender"</w:instrText>
                            </w:r>
                            <w:r>
                              <w:rPr/>
                              <w:fldChar w:fldCharType="separate"/>
                            </w:r>
                            <w:r>
                              <w:rPr/>
                              <w:t>David S. Mitchell</w:t>
                            </w:r>
                            <w:r>
                              <w:rPr/>
                              <w:fldChar w:fldCharType="end"/>
                            </w:r>
                            <w:r>
                              <w:rPr/>
                              <w:br/>
                              <w:t xml:space="preserve">Direct Dial: </w:t>
                            </w:r>
                            <w:r>
                              <w:rPr/>
                              <w:fldChar w:fldCharType="begin"/>
                            </w:r>
                            <w:r>
                              <w:rPr/>
                              <w:instrText xml:space="preserve"> DOCPROPERTY "DirectDial"</w:instrText>
                            </w:r>
                            <w:r>
                              <w:rPr/>
                              <w:fldChar w:fldCharType="separate"/>
                            </w:r>
                            <w:r>
                              <w:rPr/>
                              <w:t>(212) 504-6285</w:t>
                            </w:r>
                            <w:r>
                              <w:rPr/>
                              <w:fldChar w:fldCharType="end"/>
                            </w:r>
                            <w:bookmarkStart w:id="3" w:name="DirectDial"/>
                            <w:bookmarkEnd w:id="3"/>
                            <w:r>
                              <w:rPr/>
                              <w:br/>
                              <w:t xml:space="preserve">Direct Fax: </w:t>
                            </w:r>
                            <w:r>
                              <w:rPr/>
                              <w:fldChar w:fldCharType="begin"/>
                            </w:r>
                            <w:r>
                              <w:rPr/>
                              <w:instrText xml:space="preserve"> DOCPROPERTY "DirectFax"</w:instrText>
                            </w:r>
                            <w:r>
                              <w:rPr/>
                              <w:fldChar w:fldCharType="separate"/>
                            </w:r>
                            <w:r>
                              <w:rPr/>
                              <w:t>(212) 504-5641</w:t>
                            </w:r>
                            <w:r>
                              <w:rPr/>
                              <w:fldChar w:fldCharType="end"/>
                            </w:r>
                            <w:bookmarkStart w:id="4" w:name="DirectFax"/>
                            <w:bookmarkEnd w:id="4"/>
                            <w:r>
                              <w:rPr/>
                              <w:br/>
                              <w:t xml:space="preserve">Internet: </w:t>
                            </w:r>
                            <w:r>
                              <w:rPr/>
                              <w:fldChar w:fldCharType="begin"/>
                            </w:r>
                            <w:r>
                              <w:rPr/>
                              <w:instrText xml:space="preserve"> DOCPROPERTY "EMail"</w:instrText>
                            </w:r>
                            <w:r>
                              <w:rPr/>
                              <w:fldChar w:fldCharType="separate"/>
                            </w:r>
                            <w:r>
                              <w:rPr/>
                              <w:t>dmitchel@cwt.com</w:t>
                            </w:r>
                            <w:r>
                              <w:rPr/>
                              <w:fldChar w:fldCharType="end"/>
                            </w:r>
                            <w:bookmarkStart w:id="5" w:name="EMail"/>
                            <w:bookmarkEnd w:id="5"/>
                          </w:p>
                        </w:txbxContent>
                      </wps:txbx>
                      <wps:bodyPr anchor="t" lIns="0" tIns="0" rIns="0" bIns="0">
                        <a:noAutofit/>
                      </wps:bodyPr>
                    </wps:wsp>
                  </a:graphicData>
                </a:graphic>
              </wp:anchor>
            </w:drawing>
          </mc:Choice>
          <mc:Fallback>
            <w:pict>
              <v:rect fillcolor="#FFFFFF" style="position:absolute;rotation:-0;width:53.55pt;height:76pt;mso-wrap-distance-left:9.35pt;mso-wrap-distance-right:9.35pt;mso-wrap-distance-top:9.35pt;mso-wrap-distance-bottom:9.35pt;margin-top:162.05pt;mso-position-vertical-relative:page;margin-left:40.35pt;mso-position-horizontal-relative:page">
                <v:fill opacity="0f"/>
                <v:textbox inset="0in,0in,0in,0in">
                  <w:txbxContent>
                    <w:p>
                      <w:pPr>
                        <w:pStyle w:val="DirectDial"/>
                        <w:rPr/>
                      </w:pPr>
                      <w:bookmarkStart w:id="6" w:name="Sender"/>
                      <w:bookmarkEnd w:id="6"/>
                      <w:r>
                        <w:rPr/>
                        <w:fldChar w:fldCharType="begin"/>
                      </w:r>
                      <w:r>
                        <w:rPr/>
                        <w:instrText xml:space="preserve"> DOCPROPERTY "Sender"</w:instrText>
                      </w:r>
                      <w:r>
                        <w:rPr/>
                        <w:fldChar w:fldCharType="separate"/>
                      </w:r>
                      <w:r>
                        <w:rPr/>
                        <w:t>David S. Mitchell</w:t>
                      </w:r>
                      <w:r>
                        <w:rPr/>
                        <w:fldChar w:fldCharType="end"/>
                      </w:r>
                      <w:r>
                        <w:rPr/>
                        <w:br/>
                        <w:t xml:space="preserve">Direct Dial: </w:t>
                      </w:r>
                      <w:r>
                        <w:rPr/>
                        <w:fldChar w:fldCharType="begin"/>
                      </w:r>
                      <w:r>
                        <w:rPr/>
                        <w:instrText xml:space="preserve"> DOCPROPERTY "DirectDial"</w:instrText>
                      </w:r>
                      <w:r>
                        <w:rPr/>
                        <w:fldChar w:fldCharType="separate"/>
                      </w:r>
                      <w:r>
                        <w:rPr/>
                        <w:t>(212) 504-6285</w:t>
                      </w:r>
                      <w:r>
                        <w:rPr/>
                        <w:fldChar w:fldCharType="end"/>
                      </w:r>
                      <w:bookmarkStart w:id="7" w:name="DirectDial"/>
                      <w:bookmarkEnd w:id="7"/>
                      <w:r>
                        <w:rPr/>
                        <w:br/>
                        <w:t xml:space="preserve">Direct Fax: </w:t>
                      </w:r>
                      <w:r>
                        <w:rPr/>
                        <w:fldChar w:fldCharType="begin"/>
                      </w:r>
                      <w:r>
                        <w:rPr/>
                        <w:instrText xml:space="preserve"> DOCPROPERTY "DirectFax"</w:instrText>
                      </w:r>
                      <w:r>
                        <w:rPr/>
                        <w:fldChar w:fldCharType="separate"/>
                      </w:r>
                      <w:r>
                        <w:rPr/>
                        <w:t>(212) 504-5641</w:t>
                      </w:r>
                      <w:r>
                        <w:rPr/>
                        <w:fldChar w:fldCharType="end"/>
                      </w:r>
                      <w:bookmarkStart w:id="8" w:name="DirectFax"/>
                      <w:bookmarkEnd w:id="8"/>
                      <w:r>
                        <w:rPr/>
                        <w:br/>
                        <w:t xml:space="preserve">Internet: </w:t>
                      </w:r>
                      <w:r>
                        <w:rPr/>
                        <w:fldChar w:fldCharType="begin"/>
                      </w:r>
                      <w:r>
                        <w:rPr/>
                        <w:instrText xml:space="preserve"> DOCPROPERTY "EMail"</w:instrText>
                      </w:r>
                      <w:r>
                        <w:rPr/>
                        <w:fldChar w:fldCharType="separate"/>
                      </w:r>
                      <w:r>
                        <w:rPr/>
                        <w:t>dmitchel@cwt.com</w:t>
                      </w:r>
                      <w:r>
                        <w:rPr/>
                        <w:fldChar w:fldCharType="end"/>
                      </w:r>
                      <w:bookmarkStart w:id="9" w:name="EMail"/>
                      <w:bookmarkEnd w:id="9"/>
                    </w:p>
                  </w:txbxContent>
                </v:textbox>
                <w10:wrap type="topAndBottom"/>
              </v:rect>
            </w:pict>
          </mc:Fallback>
        </mc:AlternateContent>
      </w:r>
    </w:p>
    <w:tbl>
      <w:tblPr>
        <w:tblW w:w="9576" w:type="dxa"/>
        <w:jc w:val="start"/>
        <w:tblInd w:w="0" w:type="dxa"/>
        <w:tblLayout w:type="fixed"/>
        <w:tblCellMar>
          <w:top w:w="0" w:type="dxa"/>
          <w:start w:w="108" w:type="dxa"/>
          <w:bottom w:w="0" w:type="dxa"/>
          <w:end w:w="108" w:type="dxa"/>
        </w:tblCellMar>
      </w:tblPr>
      <w:tblGrid>
        <w:gridCol w:w="1440"/>
        <w:gridCol w:w="4068"/>
        <w:gridCol w:w="4068"/>
      </w:tblGrid>
      <w:tr>
        <w:trPr/>
        <w:tc>
          <w:tcPr>
            <w:tcW w:w="1440" w:type="dxa"/>
            <w:tcBorders/>
          </w:tcPr>
          <w:p>
            <w:pPr>
              <w:pStyle w:val="Normal"/>
              <w:spacing w:before="240" w:after="0"/>
              <w:ind w:end="144"/>
              <w:jc w:val="end"/>
              <w:rPr>
                <w:b/>
              </w:rPr>
            </w:pPr>
            <w:r>
              <w:rPr>
                <w:b/>
              </w:rPr>
              <w:t>To:</w:t>
            </w:r>
          </w:p>
        </w:tc>
        <w:tc>
          <w:tcPr>
            <w:tcW w:w="4068" w:type="dxa"/>
            <w:tcBorders/>
          </w:tcPr>
          <w:p>
            <w:pPr>
              <w:pStyle w:val="Normal"/>
              <w:spacing w:before="240" w:after="0"/>
              <w:ind w:start="144" w:end="0"/>
              <w:rPr>
                <w:lang w:val="en-CA" w:eastAsia="en-CA"/>
              </w:rPr>
            </w:pPr>
            <w:bookmarkStart w:id="10" w:name="To"/>
            <w:bookmarkEnd w:id="10"/>
            <w:r>
              <w:rPr>
                <w:lang w:val="en-CA" w:eastAsia="en-CA"/>
              </w:rPr>
              <w:t>Mark E. Taylor</w:t>
              <w:br/>
              <w:t>(Enron North America Corp.)</w:t>
            </w:r>
          </w:p>
        </w:tc>
        <w:tc>
          <w:tcPr>
            <w:tcW w:w="4068" w:type="dxa"/>
            <w:tcBorders/>
          </w:tcPr>
          <w:p>
            <w:pPr>
              <w:pStyle w:val="Normal"/>
              <w:snapToGrid w:val="false"/>
              <w:spacing w:before="240" w:after="0"/>
              <w:ind w:start="144" w:end="0"/>
              <w:rPr>
                <w:lang w:val="en-CA" w:eastAsia="en-CA"/>
              </w:rPr>
            </w:pPr>
            <w:r>
              <w:rPr>
                <w:lang w:val="en-CA" w:eastAsia="en-CA"/>
              </w:rPr>
            </w:r>
          </w:p>
        </w:tc>
      </w:tr>
      <w:tr>
        <w:trPr/>
        <w:tc>
          <w:tcPr>
            <w:tcW w:w="1440" w:type="dxa"/>
            <w:tcBorders/>
          </w:tcPr>
          <w:p>
            <w:pPr>
              <w:pStyle w:val="Normal"/>
              <w:spacing w:before="240" w:after="0"/>
              <w:ind w:end="144"/>
              <w:jc w:val="end"/>
              <w:rPr>
                <w:b/>
              </w:rPr>
            </w:pPr>
            <w:r>
              <w:rPr>
                <w:b/>
              </w:rPr>
              <w:t>From:</w:t>
            </w:r>
          </w:p>
        </w:tc>
        <w:tc>
          <w:tcPr>
            <w:tcW w:w="8136" w:type="dxa"/>
            <w:gridSpan w:val="2"/>
            <w:tcBorders/>
          </w:tcPr>
          <w:p>
            <w:pPr>
              <w:pStyle w:val="Normal"/>
              <w:spacing w:before="240" w:after="0"/>
              <w:ind w:start="144" w:end="0"/>
              <w:rPr>
                <w:lang w:val="en-CA" w:eastAsia="en-CA"/>
              </w:rPr>
            </w:pPr>
            <w:bookmarkStart w:id="11" w:name="From"/>
            <w:bookmarkEnd w:id="11"/>
            <w:r>
              <w:rPr>
                <w:lang w:val="en-CA" w:eastAsia="en-CA"/>
              </w:rPr>
              <w:t>David S. Mitchell</w:t>
              <w:br/>
              <w:t>Marissa L. Morelle</w:t>
            </w:r>
          </w:p>
        </w:tc>
      </w:tr>
      <w:tr>
        <w:trPr/>
        <w:tc>
          <w:tcPr>
            <w:tcW w:w="1440" w:type="dxa"/>
            <w:tcBorders/>
          </w:tcPr>
          <w:p>
            <w:pPr>
              <w:pStyle w:val="Normal"/>
              <w:spacing w:before="240" w:after="0"/>
              <w:ind w:end="144"/>
              <w:jc w:val="end"/>
              <w:rPr>
                <w:b/>
              </w:rPr>
            </w:pPr>
            <w:bookmarkStart w:id="12" w:name="Date"/>
            <w:bookmarkEnd w:id="12"/>
            <w:r>
              <w:rPr>
                <w:b/>
              </w:rPr>
              <w:t>Date:</w:t>
            </w:r>
          </w:p>
        </w:tc>
        <w:tc>
          <w:tcPr>
            <w:tcW w:w="8136" w:type="dxa"/>
            <w:gridSpan w:val="2"/>
            <w:tcBorders/>
          </w:tcPr>
          <w:p>
            <w:pPr>
              <w:pStyle w:val="Normal"/>
              <w:spacing w:before="240" w:after="0"/>
              <w:ind w:start="144" w:end="0"/>
              <w:rPr/>
            </w:pPr>
            <w:r>
              <w:rPr/>
              <w:t>June 21, 2000</w:t>
            </w:r>
          </w:p>
        </w:tc>
      </w:tr>
      <w:tr>
        <w:trPr/>
        <w:tc>
          <w:tcPr>
            <w:tcW w:w="1440" w:type="dxa"/>
            <w:tcBorders>
              <w:bottom w:val="double" w:sz="4" w:space="0" w:color="000000"/>
            </w:tcBorders>
          </w:tcPr>
          <w:p>
            <w:pPr>
              <w:pStyle w:val="Normal"/>
              <w:spacing w:before="240" w:after="240"/>
              <w:ind w:end="144"/>
              <w:jc w:val="end"/>
              <w:rPr>
                <w:b/>
              </w:rPr>
            </w:pPr>
            <w:r>
              <w:rPr>
                <w:b/>
              </w:rPr>
              <w:t>Re:</w:t>
            </w:r>
          </w:p>
        </w:tc>
        <w:tc>
          <w:tcPr>
            <w:tcW w:w="8136" w:type="dxa"/>
            <w:gridSpan w:val="2"/>
            <w:tcBorders>
              <w:bottom w:val="double" w:sz="4" w:space="0" w:color="000000"/>
            </w:tcBorders>
          </w:tcPr>
          <w:p>
            <w:pPr>
              <w:pStyle w:val="Normal"/>
              <w:tabs>
                <w:tab w:val="clear" w:pos="720"/>
                <w:tab w:val="left" w:pos="7200" w:leader="none"/>
              </w:tabs>
              <w:spacing w:before="240" w:after="240"/>
              <w:ind w:start="144" w:end="720"/>
              <w:jc w:val="both"/>
              <w:rPr>
                <w:u w:val="single"/>
              </w:rPr>
            </w:pPr>
            <w:bookmarkStart w:id="13" w:name="Re"/>
            <w:bookmarkEnd w:id="13"/>
            <w:r>
              <w:rPr>
                <w:u w:val="single"/>
              </w:rPr>
              <w:t>CFTC Proposed Regulatory Framework</w:t>
            </w:r>
          </w:p>
        </w:tc>
      </w:tr>
      <w:tr>
        <w:trPr/>
        <w:tc>
          <w:tcPr>
            <w:tcW w:w="1440" w:type="dxa"/>
            <w:tcBorders/>
          </w:tcPr>
          <w:p>
            <w:pPr>
              <w:pStyle w:val="Normal"/>
              <w:snapToGrid w:val="false"/>
              <w:ind w:end="144"/>
              <w:jc w:val="end"/>
              <w:rPr>
                <w:b/>
                <w:u w:val="single"/>
              </w:rPr>
            </w:pPr>
            <w:r>
              <w:rPr>
                <w:b/>
                <w:u w:val="single"/>
              </w:rPr>
            </w:r>
          </w:p>
        </w:tc>
        <w:tc>
          <w:tcPr>
            <w:tcW w:w="8136" w:type="dxa"/>
            <w:gridSpan w:val="2"/>
            <w:tcBorders/>
          </w:tcPr>
          <w:p>
            <w:pPr>
              <w:pStyle w:val="Normal"/>
              <w:snapToGrid w:val="false"/>
              <w:ind w:start="144" w:end="0"/>
              <w:rPr>
                <w:b/>
              </w:rPr>
            </w:pPr>
            <w:r>
              <w:rPr>
                <w:b/>
              </w:rPr>
            </w:r>
          </w:p>
        </w:tc>
      </w:tr>
    </w:tbl>
    <w:p>
      <w:pPr>
        <w:pStyle w:val="BodyMain"/>
        <w:spacing w:lineRule="auto" w:line="480"/>
        <w:rPr/>
      </w:pPr>
      <w:bookmarkStart w:id="14" w:name="Body"/>
      <w:bookmarkEnd w:id="14"/>
      <w:r>
        <w:rPr/>
        <w:t>Pursuant to your request, we have reviewed the new regulatory framework proposed by the Commodity Futures Trading Commission (the “CFTC”) for multilateral transaction execution facilities that trade derivatives, market intermediaries, and clearing organizations, with a view to identifying those aspects of the CFTC’s proposals which could have a significant impact on the business activities engaged in by Enron North America Corp. (“ENA”) and its affiliates in the United States.</w:t>
      </w:r>
    </w:p>
    <w:p>
      <w:pPr>
        <w:pStyle w:val="BodyMain"/>
        <w:spacing w:lineRule="auto" w:line="480"/>
        <w:rPr/>
      </w:pPr>
      <w:r>
        <w:rPr/>
        <w:t xml:space="preserve">The CFTC staff has indicated to us that the proposals will be published in the </w:t>
      </w:r>
      <w:r>
        <w:rPr>
          <w:u w:val="single"/>
        </w:rPr>
        <w:t>Federal</w:t>
      </w:r>
      <w:r>
        <w:rPr/>
        <w:t xml:space="preserve"> </w:t>
      </w:r>
      <w:r>
        <w:rPr>
          <w:u w:val="single"/>
        </w:rPr>
        <w:t>Register</w:t>
      </w:r>
      <w:r>
        <w:rPr/>
        <w:t xml:space="preserve"> on Thursday, June 22, 2000 for a forty-five day comment period.  In addition, the CFTC has scheduled two public meetings on June 27 and June 28 at which interested persons may submit oral and written statements relating to the proposals.  Requests to appear must be submitted to the CFTC by close of business on Friday, June 23.</w:t>
      </w:r>
    </w:p>
    <w:p>
      <w:pPr>
        <w:pStyle w:val="BodyMain"/>
        <w:spacing w:lineRule="auto" w:line="480"/>
        <w:rPr/>
      </w:pPr>
      <w:r>
        <w:rPr/>
        <w:t>In summary, the CFTC’s proposals clarify and expand the scope of the Part 35 exemptive rules for swap transactions; recognize three new categories of markets which would be subject to varying degrees of CFTC oversight, based upon the nature of the instruments traded and the sophistication of the participants; provide some regulatory relief for CFTC registrants such as futures commission merchants; and give clearing organizations greater flexibility in the manner in which they operate and provide services.  For ease of review, we have kept to a minimum citations to provisions of rules and regulations.</w:t>
      </w:r>
    </w:p>
    <w:p>
      <w:pPr>
        <w:pStyle w:val="BodyMain"/>
        <w:spacing w:lineRule="auto" w:line="480"/>
        <w:ind w:hanging="0" w:end="0"/>
        <w:rPr/>
      </w:pPr>
      <w:r>
        <w:rPr/>
        <w:t xml:space="preserve">(1) </w:t>
      </w:r>
      <w:r>
        <w:rPr>
          <w:u w:val="single"/>
        </w:rPr>
        <w:t>Amendments to the Part 35 Rules</w:t>
      </w:r>
    </w:p>
    <w:p>
      <w:pPr>
        <w:pStyle w:val="BodyMain"/>
        <w:spacing w:lineRule="auto" w:line="480"/>
        <w:rPr/>
      </w:pPr>
      <w:r>
        <w:rPr/>
        <w:t>Currently, the Part 35 rules require that an eligible swap transaction (i) be entered into between eligible swap participants, as defined; (ii) not be part of a fungible class of agreements that are standardized as to their material economic terms; (iii) be subject to private negotiation based upon individualized counterparty credit assessment; and (iv) not be entered into and traded on or through a multilateral transaction execution facility (a “MTEF”).</w:t>
      </w:r>
    </w:p>
    <w:p>
      <w:pPr>
        <w:pStyle w:val="BodyMain"/>
        <w:spacing w:lineRule="auto" w:line="480"/>
        <w:rPr/>
      </w:pPr>
      <w:r>
        <w:rPr/>
        <w:t>Among other things, the CFTC is proposing (i) to delete the requirement that exempt transactions not be fungible or standardized; (ii) to permit clearing by a recognized clearing organization; (iii) to provide that a transaction entered into pursuant to Part 35 is not void solely due to a violation of the terms of the exemption; and (iv) to clarify the nature of an MTEF.</w:t>
      </w:r>
    </w:p>
    <w:p>
      <w:pPr>
        <w:pStyle w:val="BodyMain"/>
        <w:keepNext w:val="true"/>
        <w:keepLines/>
        <w:spacing w:lineRule="auto" w:line="480"/>
        <w:ind w:hanging="0" w:end="0"/>
        <w:rPr>
          <w:u w:val="single"/>
        </w:rPr>
      </w:pPr>
      <w:r>
        <w:rPr>
          <w:u w:val="single"/>
        </w:rPr>
        <w:t>Proposed MTEF Definition</w:t>
      </w:r>
    </w:p>
    <w:p>
      <w:pPr>
        <w:pStyle w:val="BodyMain"/>
        <w:spacing w:lineRule="auto" w:line="480"/>
        <w:rPr/>
      </w:pPr>
      <w:r>
        <w:rPr/>
        <w:t>The CFTC is proposing to define an MTEF as</w:t>
      </w:r>
    </w:p>
    <w:p>
      <w:pPr>
        <w:pStyle w:val="BodyMain"/>
        <w:ind w:hanging="0" w:start="1440" w:end="1440"/>
        <w:rPr/>
      </w:pPr>
      <w:r>
        <w:rPr/>
        <w:t>an electronic or non-electronic market or similar facility through which persons, for their own accounts or for the accounts of others, enter into, agree to enter into or execute binding transactions by accepting  bids or offers made by one person that are open to multiple persons conducting business through such market or similar facility.</w:t>
      </w:r>
    </w:p>
    <w:p>
      <w:pPr>
        <w:pStyle w:val="BodyMain"/>
        <w:spacing w:lineRule="auto" w:line="480"/>
        <w:ind w:hanging="0" w:end="0"/>
        <w:rPr/>
      </w:pPr>
      <w:r>
        <w:rPr/>
        <w:t xml:space="preserve">The preamble to the CFTC proposals confirms that this language does not include facilities used only as a means of communicating bids or offers </w:t>
      </w:r>
      <w:r>
        <w:rPr>
          <w:u w:val="single"/>
        </w:rPr>
        <w:t>nor</w:t>
      </w:r>
      <w:r>
        <w:rPr/>
        <w:t xml:space="preserve"> does it include markets in which a single market maker offers to enter into bilateral transactions with multiple counterparties who may not transact with each other such as Enron Online.  However, it is not entirely clear from the preamble or the proposed definition whether ENA could permit a third party to use Enron Online to offer to enter into bilateral transactions with multiple counterparties who may not transact with each other.</w:t>
      </w:r>
    </w:p>
    <w:p>
      <w:pPr>
        <w:pStyle w:val="BodyMain"/>
        <w:spacing w:lineRule="auto" w:line="480"/>
        <w:ind w:hanging="0" w:end="0"/>
        <w:rPr/>
      </w:pPr>
      <w:r>
        <w:rPr/>
        <w:t xml:space="preserve">(2) </w:t>
      </w:r>
      <w:r>
        <w:rPr>
          <w:u w:val="single"/>
        </w:rPr>
        <w:t>Status of Forward Contracts and the Energy Contract Exemption</w:t>
      </w:r>
    </w:p>
    <w:p>
      <w:pPr>
        <w:pStyle w:val="BodyMain"/>
        <w:spacing w:lineRule="auto" w:line="480"/>
        <w:rPr/>
      </w:pPr>
      <w:r>
        <w:rPr/>
        <w:t>The CFTC is also confirming the continuing validity of the Statutory Interpretation Concerning Forward Contracts, 55 Fed. Reg. 39188 (Sept. 25, 1990) (frequently referred to as the Brent oil interpretation) and the energy contract exemption, 58 Fed. Reg. 21286 (April 20, 1993).</w:t>
      </w:r>
    </w:p>
    <w:p>
      <w:pPr>
        <w:pStyle w:val="BodyMain"/>
        <w:keepNext w:val="true"/>
        <w:keepLines/>
        <w:spacing w:lineRule="auto" w:line="480"/>
        <w:ind w:hanging="0" w:end="0"/>
        <w:rPr/>
      </w:pPr>
      <w:r>
        <w:rPr/>
        <w:t xml:space="preserve">(3) </w:t>
      </w:r>
      <w:r>
        <w:rPr>
          <w:u w:val="single"/>
        </w:rPr>
        <w:t>Exempt MTEF</w:t>
      </w:r>
    </w:p>
    <w:p>
      <w:pPr>
        <w:pStyle w:val="BodyMain"/>
        <w:spacing w:lineRule="auto" w:line="480"/>
        <w:rPr/>
      </w:pPr>
      <w:r>
        <w:rPr/>
        <w:t xml:space="preserve">The least regulated category of market would be the “exempt MTEF”.  This category would be limited to markets with transactions only among institutional participants </w:t>
      </w:r>
      <w:r>
        <w:rPr>
          <w:u w:val="single"/>
        </w:rPr>
        <w:t>and</w:t>
      </w:r>
      <w:r>
        <w:rPr/>
        <w:t xml:space="preserve"> only involving contracts based upon specified commodities that have an inexhaustible supply or have no underlying cash value, including (i) a debt obligation; (ii) a foreign currency; (iii) an interest rate; (iv) an exempt security or an index thereof; (v) a measure of credit risk or quality; or (vi) an economic or commercial index or a measure based upon an occurrence or contingency such as weather.</w:t>
      </w:r>
    </w:p>
    <w:p>
      <w:pPr>
        <w:pStyle w:val="BodyMain"/>
        <w:spacing w:lineRule="auto" w:line="480"/>
        <w:rPr/>
      </w:pPr>
      <w:r>
        <w:rPr/>
        <w:t>This list does not include energy derivatives, whether physically settled or cash settled, nor could they qualify on a case-by-case basis.</w:t>
      </w:r>
    </w:p>
    <w:p>
      <w:pPr>
        <w:pStyle w:val="BodyMain"/>
        <w:spacing w:lineRule="auto" w:line="480"/>
        <w:ind w:hanging="0" w:end="0"/>
        <w:rPr/>
      </w:pPr>
      <w:r>
        <w:rPr/>
        <w:t xml:space="preserve">(4) </w:t>
      </w:r>
      <w:r>
        <w:rPr>
          <w:u w:val="single"/>
        </w:rPr>
        <w:t>Derivatives Transaction Facility</w:t>
      </w:r>
    </w:p>
    <w:p>
      <w:pPr>
        <w:pStyle w:val="BodyMain"/>
        <w:spacing w:lineRule="auto" w:line="480"/>
        <w:rPr/>
      </w:pPr>
      <w:r>
        <w:rPr/>
        <w:t xml:space="preserve">This category of market would qualify for an intermediate level of regulation, </w:t>
      </w:r>
      <w:r>
        <w:rPr>
          <w:u w:val="single"/>
        </w:rPr>
        <w:t>i.e.</w:t>
      </w:r>
      <w:r>
        <w:rPr/>
        <w:t xml:space="preserve">, more regulated than an exempt MTEF but less regulated than a recognized futures exchange.  If the facility limits participation to only eligible commercial participants, contracts on any commodity may be traded, except for certain domestic agricultural commodities.  If non-commercial customers may participate, then the facility may trade only eligible contracts.  The list of eligible contracts includes those based upon the commodities listed above for an exempt MTEF, as well as other contracts on a case-by-case basis.  For this purpose, other contracts could be included </w:t>
      </w:r>
      <w:r>
        <w:rPr>
          <w:u w:val="single"/>
        </w:rPr>
        <w:t>if</w:t>
      </w:r>
      <w:r>
        <w:rPr/>
        <w:t xml:space="preserve"> found by the CFTC “to have a sufficiently liquid and deep market and a surveillance history based on actual trading experience to provide assurance that the contract is highly unlikely to be manipulated.”</w:t>
      </w:r>
    </w:p>
    <w:p>
      <w:pPr>
        <w:pStyle w:val="BodyMain"/>
        <w:spacing w:lineRule="auto" w:line="480"/>
        <w:rPr/>
      </w:pPr>
      <w:r>
        <w:rPr/>
        <w:tab/>
        <w:tab/>
        <w:tab/>
        <w:t>*  *  *  *  *  *  *</w:t>
      </w:r>
    </w:p>
    <w:p>
      <w:pPr>
        <w:pStyle w:val="BodyMain"/>
        <w:spacing w:lineRule="auto" w:line="480"/>
        <w:rPr/>
      </w:pPr>
      <w:r>
        <w:rPr/>
        <w:t xml:space="preserve">Please contact us if we can be of assistance to you in formulating ENA’s response to the proposed CFTC framework.  Among other things, written comments could include (i) a request for clarification of the proposed definition of an MTEF so that ENA may permit a third party to use Enron Online to offer to enter into bilateral transactions with multiple counterparties who could not transact with each other; (ii) a suggestion that other contracts be eligible for trading on an exempt MTEF pursuant to a finding that the contract is not likely to be manipulated, </w:t>
      </w:r>
      <w:r>
        <w:rPr>
          <w:u w:val="single"/>
        </w:rPr>
        <w:t>e.g.</w:t>
      </w:r>
      <w:r>
        <w:rPr/>
        <w:t>, because it is settled in cash and the volume of cash-settled derivatives is small in relation to the available supply of the underlying commodity, or that alternative safeguards exist so that additional CFTC regulation is unwarranted; and (iii) a request that the CFTC confirm that the proposed framework does not preclude additional relief in response to individualized requests for exemptions under Section 4(c) of the Act.</w:t>
      </w:r>
    </w:p>
    <w:p>
      <w:pPr>
        <w:pStyle w:val="Normal"/>
        <w:spacing w:before="720" w:after="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DOCPROPERTY "PCDOCS ID Short"</w:instrText>
    </w:r>
    <w:r>
      <w:rPr>
        <w:sz w:val="16"/>
      </w:rPr>
      <w:fldChar w:fldCharType="separate"/>
    </w:r>
    <w:r>
      <w:rPr>
        <w:sz w:val="16"/>
      </w:rPr>
      <w:t>483286.1</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360"/>
      </w:pPr>
      <w:rPr>
        <w:sz w:val="24"/>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i w:val="false"/>
        <w:b w:val="false"/>
        <w:rFonts w:ascii="Times New Roman" w:hAnsi="Times New Roman" w:cs="Times New Roman"/>
      </w:rPr>
    </w:lvl>
  </w:abstractNum>
  <w:abstractNum w:abstractNumId="2">
    <w:lvl w:ilvl="0">
      <w:start w:val="1"/>
      <w:numFmt w:val="none"/>
      <w:suff w:val="nothing"/>
      <w:lvlText w:val="bcc:"/>
      <w:lvlJc w:val="start"/>
      <w:pPr>
        <w:tabs>
          <w:tab w:val="num" w:pos="720"/>
        </w:tabs>
        <w:ind w:start="720" w:hanging="720"/>
      </w:pPr>
    </w:lvl>
  </w:abstractNum>
  <w:abstractNum w:abstractNumId="3">
    <w:lvl w:ilvl="0">
      <w:start w:val="1"/>
      <w:numFmt w:val="bullet"/>
      <w:lvlText w:val=""/>
      <w:lvlJc w:val="start"/>
      <w:pPr>
        <w:tabs>
          <w:tab w:val="num" w:pos="2160"/>
        </w:tabs>
        <w:ind w:start="2160" w:hanging="720"/>
      </w:pPr>
      <w:rPr>
        <w:rFonts w:ascii="Symbol" w:hAnsi="Symbol" w:cs="Symbol" w:hint="default"/>
      </w:rPr>
    </w:lvl>
  </w:abstractNum>
  <w:abstractNum w:abstractNumId="4">
    <w:lvl w:ilvl="0">
      <w:start w:val="1"/>
      <w:numFmt w:val="none"/>
      <w:suff w:val="nothing"/>
      <w:lvlText w:val="cc:"/>
      <w:lvlJc w:val="start"/>
      <w:pPr>
        <w:tabs>
          <w:tab w:val="num" w:pos="720"/>
        </w:tabs>
        <w:ind w:start="720" w:hanging="72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BodyMain"/>
    <w:qFormat/>
    <w:pPr>
      <w:keepNext w:val="true"/>
      <w:keepLines/>
      <w:numPr>
        <w:ilvl w:val="0"/>
        <w:numId w:val="1"/>
      </w:numPr>
      <w:spacing w:before="360" w:after="0"/>
      <w:outlineLvl w:val="0"/>
    </w:pPr>
    <w:rPr/>
  </w:style>
  <w:style w:type="paragraph" w:styleId="Heading2">
    <w:name w:val="heading 2"/>
    <w:basedOn w:val="Normal"/>
    <w:next w:val="BodyMain"/>
    <w:qFormat/>
    <w:pPr>
      <w:keepNext w:val="true"/>
      <w:keepLines/>
      <w:numPr>
        <w:ilvl w:val="1"/>
        <w:numId w:val="1"/>
      </w:numPr>
      <w:spacing w:before="240" w:after="0"/>
      <w:outlineLvl w:val="1"/>
    </w:pPr>
    <w:rPr/>
  </w:style>
  <w:style w:type="paragraph" w:styleId="Heading3">
    <w:name w:val="heading 3"/>
    <w:basedOn w:val="Normal"/>
    <w:next w:val="BodyMain"/>
    <w:qFormat/>
    <w:pPr>
      <w:keepNext w:val="true"/>
      <w:keepLines/>
      <w:numPr>
        <w:ilvl w:val="2"/>
        <w:numId w:val="1"/>
      </w:numPr>
      <w:spacing w:before="240" w:after="0"/>
      <w:outlineLvl w:val="2"/>
    </w:pPr>
    <w:rPr/>
  </w:style>
  <w:style w:type="paragraph" w:styleId="Heading4">
    <w:name w:val="heading 4"/>
    <w:basedOn w:val="Normal"/>
    <w:next w:val="BodyMain"/>
    <w:qFormat/>
    <w:pPr>
      <w:keepNext w:val="true"/>
      <w:keepLines/>
      <w:numPr>
        <w:ilvl w:val="3"/>
        <w:numId w:val="1"/>
      </w:numPr>
      <w:spacing w:before="240" w:after="0"/>
      <w:outlineLvl w:val="3"/>
    </w:pPr>
    <w:rPr/>
  </w:style>
  <w:style w:type="paragraph" w:styleId="Heading5">
    <w:name w:val="heading 5"/>
    <w:basedOn w:val="Normal"/>
    <w:next w:val="BodyMain"/>
    <w:qFormat/>
    <w:pPr>
      <w:keepNext w:val="true"/>
      <w:keepLines/>
      <w:numPr>
        <w:ilvl w:val="4"/>
        <w:numId w:val="1"/>
      </w:numPr>
      <w:spacing w:before="240" w:after="0"/>
      <w:outlineLvl w:val="4"/>
    </w:pPr>
    <w:rPr/>
  </w:style>
  <w:style w:type="paragraph" w:styleId="Heading6">
    <w:name w:val="heading 6"/>
    <w:basedOn w:val="Normal"/>
    <w:next w:val="BodyMain"/>
    <w:qFormat/>
    <w:pPr>
      <w:keepNext w:val="true"/>
      <w:keepLines/>
      <w:numPr>
        <w:ilvl w:val="5"/>
        <w:numId w:val="1"/>
      </w:numPr>
      <w:spacing w:before="240" w:after="0"/>
      <w:outlineLvl w:val="5"/>
    </w:pPr>
    <w:rPr/>
  </w:style>
  <w:style w:type="paragraph" w:styleId="Heading7">
    <w:name w:val="heading 7"/>
    <w:basedOn w:val="Normal"/>
    <w:next w:val="BodyMain"/>
    <w:qFormat/>
    <w:pPr>
      <w:keepNext w:val="true"/>
      <w:keepLines/>
      <w:numPr>
        <w:ilvl w:val="6"/>
        <w:numId w:val="1"/>
      </w:numPr>
      <w:spacing w:before="240" w:after="0"/>
      <w:outlineLvl w:val="6"/>
    </w:pPr>
    <w:rPr/>
  </w:style>
  <w:style w:type="paragraph" w:styleId="Heading8">
    <w:name w:val="heading 8"/>
    <w:basedOn w:val="Normal"/>
    <w:next w:val="BodyMain"/>
    <w:qFormat/>
    <w:pPr>
      <w:keepNext w:val="true"/>
      <w:keepLines/>
      <w:numPr>
        <w:ilvl w:val="7"/>
        <w:numId w:val="1"/>
      </w:numPr>
      <w:spacing w:before="240" w:after="0"/>
      <w:outlineLvl w:val="7"/>
    </w:pPr>
    <w:rPr/>
  </w:style>
  <w:style w:type="paragraph" w:styleId="Heading9">
    <w:name w:val="heading 9"/>
    <w:basedOn w:val="Normal"/>
    <w:next w:val="BodyMain"/>
    <w:qFormat/>
    <w:pPr>
      <w:keepNext w:val="true"/>
      <w:keepLines/>
      <w:numPr>
        <w:ilvl w:val="8"/>
        <w:numId w:val="1"/>
      </w:numPr>
      <w:spacing w:before="240" w:after="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b w:val="false"/>
      <w:i w:val="false"/>
      <w:sz w:val="24"/>
    </w:rPr>
  </w:style>
  <w:style w:type="character" w:styleId="WW8Num12z1">
    <w:name w:val="WW8Num12z1"/>
    <w:qFormat/>
    <w:rPr>
      <w:rFonts w:ascii="Times New Roman" w:hAnsi="Times New Roman" w:cs="Times New Roman"/>
      <w:b w:val="false"/>
      <w:i w:val="false"/>
      <w:sz w:val="24"/>
      <w:u w:val="none"/>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u w:val="single"/>
    </w:rPr>
  </w:style>
  <w:style w:type="character" w:styleId="latin">
    <w:name w:val="latin"/>
    <w:basedOn w:val="DefaultParagraphFont"/>
    <w:qFormat/>
    <w:rPr>
      <w:i/>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irectDial">
    <w:name w:val="Direct Dial"/>
    <w:basedOn w:val="Normal"/>
    <w:qFormat/>
    <w:pPr>
      <w:spacing w:lineRule="exact" w:line="190"/>
    </w:pPr>
    <w:rPr>
      <w:sz w:val="15"/>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Main">
    <w:name w:val="Body Main"/>
    <w:basedOn w:val="Normal"/>
    <w:qFormat/>
    <w:pPr>
      <w:spacing w:before="240" w:after="0"/>
      <w:ind w:firstLine="1440" w:start="0" w:end="0"/>
      <w:jc w:val="both"/>
    </w:pPr>
    <w:rPr/>
  </w:style>
  <w:style w:type="paragraph" w:styleId="HeadingCtr">
    <w:name w:val="Heading Ctr"/>
    <w:basedOn w:val="Normal"/>
    <w:qFormat/>
    <w:pPr>
      <w:keepNext w:val="true"/>
      <w:keepLines/>
      <w:spacing w:before="240" w:after="0"/>
      <w:jc w:val="center"/>
    </w:pPr>
    <w:rPr/>
  </w:style>
  <w:style w:type="paragraph" w:styleId="HeadingLeft">
    <w:name w:val="Heading Left"/>
    <w:basedOn w:val="Normal"/>
    <w:qFormat/>
    <w:pPr>
      <w:keepNext w:val="true"/>
      <w:keepLines/>
      <w:spacing w:before="240" w:after="0"/>
    </w:pPr>
    <w:rPr/>
  </w:style>
  <w:style w:type="paragraph" w:styleId="HeadingRgt">
    <w:name w:val="Heading Rgt"/>
    <w:basedOn w:val="Normal"/>
    <w:qFormat/>
    <w:pPr>
      <w:keepNext w:val="true"/>
      <w:keepLines/>
      <w:spacing w:before="240" w:after="0"/>
      <w:jc w:val="end"/>
    </w:pPr>
    <w:rPr/>
  </w:style>
  <w:style w:type="paragraph" w:styleId="SigEntity">
    <w:name w:val="Sig Entity"/>
    <w:basedOn w:val="Normal"/>
    <w:qFormat/>
    <w:pPr>
      <w:keepNext w:val="true"/>
      <w:keepLines/>
      <w:spacing w:before="480" w:after="0"/>
      <w:ind w:hanging="360" w:start="5040" w:end="0"/>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BlockQuote">
    <w:name w:val="Block Quote"/>
    <w:basedOn w:val="Normal"/>
    <w:qFormat/>
    <w:pPr>
      <w:spacing w:before="240" w:after="0"/>
      <w:ind w:hanging="0" w:start="1440" w:end="1440"/>
      <w:jc w:val="both"/>
    </w:pPr>
    <w:rPr/>
  </w:style>
  <w:style w:type="paragraph" w:styleId="BodyContd">
    <w:name w:val="Body Cont'd"/>
    <w:basedOn w:val="BodyMain"/>
    <w:next w:val="BodyMain"/>
    <w:qFormat/>
    <w:pPr>
      <w:ind w:hanging="0" w:start="0" w:end="0"/>
    </w:pPr>
    <w:rPr/>
  </w:style>
  <w:style w:type="paragraph" w:styleId="Bcc">
    <w:name w:val="Bcc"/>
    <w:basedOn w:val="Normal"/>
    <w:next w:val="Normal"/>
    <w:qFormat/>
    <w:pPr>
      <w:keepLines/>
      <w:numPr>
        <w:ilvl w:val="0"/>
        <w:numId w:val="2"/>
      </w:numPr>
      <w:spacing w:before="240" w:after="0"/>
    </w:pPr>
    <w:rPr>
      <w:lang w:eastAsia="en-CA"/>
    </w:rPr>
  </w:style>
  <w:style w:type="paragraph" w:styleId="Initials">
    <w:name w:val="Initials"/>
    <w:basedOn w:val="Normal"/>
    <w:next w:val="Cc"/>
    <w:qFormat/>
    <w:pPr>
      <w:keepLines/>
      <w:spacing w:before="480" w:after="0"/>
      <w:ind w:hanging="0" w:start="4680" w:end="0"/>
    </w:pPr>
    <w:rPr>
      <w:caps/>
    </w:rPr>
  </w:style>
  <w:style w:type="paragraph" w:styleId="Cc">
    <w:name w:val="Cc"/>
    <w:basedOn w:val="Normal"/>
    <w:next w:val="Bcc"/>
    <w:qFormat/>
    <w:pPr>
      <w:keepLines/>
      <w:numPr>
        <w:ilvl w:val="0"/>
        <w:numId w:val="4"/>
      </w:numPr>
      <w:spacing w:before="240" w:after="0"/>
    </w:pPr>
    <w:rPr>
      <w:lang w:eastAsia="en-CA"/>
    </w:rPr>
  </w:style>
  <w:style w:type="paragraph" w:styleId="FootnoteText">
    <w:name w:val="footnote text"/>
    <w:basedOn w:val="Normal"/>
    <w:pPr>
      <w:tabs>
        <w:tab w:val="clear" w:pos="720"/>
        <w:tab w:val="left" w:pos="360" w:leader="none"/>
      </w:tabs>
      <w:spacing w:before="120" w:after="0"/>
      <w:jc w:val="both"/>
    </w:pPr>
    <w:rPr>
      <w:sz w:val="22"/>
    </w:rPr>
  </w:style>
  <w:style w:type="paragraph" w:styleId="ListItem">
    <w:name w:val="List Item"/>
    <w:basedOn w:val="Normal"/>
    <w:qFormat/>
    <w:pPr>
      <w:numPr>
        <w:ilvl w:val="0"/>
        <w:numId w:val="3"/>
      </w:numPr>
      <w:tabs>
        <w:tab w:val="left" w:pos="720" w:leader="none"/>
      </w:tabs>
      <w:spacing w:before="240" w:after="0"/>
      <w:ind w:hanging="0" w:start="720" w:end="0"/>
      <w:jc w:val="both"/>
    </w:pPr>
    <w:rPr/>
  </w:style>
  <w:style w:type="paragraph" w:styleId="SigIndividL">
    <w:name w:val="Sig Individ L"/>
    <w:basedOn w:val="Normal"/>
    <w:qFormat/>
    <w:pPr>
      <w:keepLines/>
      <w:tabs>
        <w:tab w:val="clear" w:pos="720"/>
        <w:tab w:val="left" w:pos="4680" w:leader="underscore"/>
      </w:tabs>
      <w:spacing w:before="720" w:after="0"/>
      <w:ind w:hanging="0" w:start="0" w:end="4680"/>
      <w:jc w:val="center"/>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CWTMemo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2000-06-21T11:29:00Z</dcterms:created>
  <dc:creator>smester</dc:creator>
  <dc:description>CWTMemo for March rollout</dc:description>
  <dc:language>en-CA</dc:language>
  <cp:lastModifiedBy>smester</cp:lastModifiedBy>
  <cp:lastPrinted>2000-06-21T09:56:00Z</cp:lastPrinted>
  <dcterms:modified xsi:type="dcterms:W3CDTF">2000-06-21T11:29:00Z</dcterms:modified>
  <cp:revision>2</cp:revision>
  <dc:subject/>
  <dc:title>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CWTMemo</vt:lpwstr>
  </property>
  <property fmtid="{D5CDD505-2E9C-101B-9397-08002B2CF9AE}" pid="3" name="DirectDial">
    <vt:lpwstr>(212) 504-6285</vt:lpwstr>
  </property>
  <property fmtid="{D5CDD505-2E9C-101B-9397-08002B2CF9AE}" pid="4" name="DirectFax">
    <vt:lpwstr>(212) 504-5641</vt:lpwstr>
  </property>
  <property fmtid="{D5CDD505-2E9C-101B-9397-08002B2CF9AE}" pid="5" name="EMail">
    <vt:lpwstr>dmitchel@cwt.com</vt:lpwstr>
  </property>
  <property fmtid="{D5CDD505-2E9C-101B-9397-08002B2CF9AE}" pid="6" name="PCDOCS ID Info">
    <vt:lpwstr>CWT\{PCDOCS Library}\{filename}</vt:lpwstr>
  </property>
  <property fmtid="{D5CDD505-2E9C-101B-9397-08002B2CF9AE}" pid="7" name="PCDOCS ID Long">
    <vt:lpwstr>CWT\NYLIB1\483286.1</vt:lpwstr>
  </property>
  <property fmtid="{D5CDD505-2E9C-101B-9397-08002B2CF9AE}" pid="8" name="PCDOCS ID Short">
    <vt:lpwstr>483286.1</vt:lpwstr>
  </property>
  <property fmtid="{D5CDD505-2E9C-101B-9397-08002B2CF9AE}" pid="9" name="Sender">
    <vt:lpwstr>David S. Mitchell</vt:lpwstr>
  </property>
  <property fmtid="{D5CDD505-2E9C-101B-9397-08002B2CF9AE}" pid="10" name="VersionDate">
    <vt:lpwstr>4/1/99</vt:lpwstr>
  </property>
</Properties>
</file>