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Monday June 4,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358207903"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jc w:val="both"/>
        <w:rPr>
          <w:color w:val="0000FF"/>
        </w:rPr>
      </w:pPr>
      <w:r>
        <w:rPr>
          <w:color w:val="0000FF"/>
        </w:rPr>
      </w:r>
    </w:p>
    <w:p>
      <w:pPr>
        <w:pStyle w:val="Heading2"/>
        <w:rPr/>
      </w:pPr>
      <w:r>
        <w:rPr/>
        <w:t>CFTC Commitment of Traders as of May 29</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4,561</w:t>
        <w:tab/>
        <w:tab/>
        <w:t>+162</w:t>
        <w:tab/>
        <w:tab/>
        <w:t>28,642</w:t>
        <w:tab/>
        <w:tab/>
        <w:t>-3,060</w:t>
        <w:tab/>
        <w:tab/>
        <w:t>-24,081</w:t>
        <w:tab/>
        <w:t>+3,222</w:t>
      </w:r>
    </w:p>
    <w:p>
      <w:pPr>
        <w:pStyle w:val="Normal"/>
        <w:ind w:hanging="1440" w:start="1440" w:end="0"/>
        <w:jc w:val="both"/>
        <w:rPr/>
      </w:pPr>
      <w:r>
        <w:rPr/>
      </w:r>
    </w:p>
    <w:p>
      <w:pPr>
        <w:pStyle w:val="Normal"/>
        <w:ind w:hanging="1440" w:start="1440" w:end="0"/>
        <w:jc w:val="both"/>
        <w:rPr/>
      </w:pPr>
      <w:r>
        <w:rPr/>
        <w:t>Non-Reportable</w:t>
        <w:tab/>
        <w:t>40,976</w:t>
        <w:tab/>
        <w:tab/>
        <w:t>+696</w:t>
        <w:tab/>
        <w:tab/>
        <w:t>30,173</w:t>
        <w:tab/>
        <w:tab/>
        <w:t>+4,280</w:t>
        <w:tab/>
        <w:tab/>
        <w:t>+10,803</w:t>
        <w:tab/>
        <w:t>-3,584</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2001-06-04T11:15:00Z</dcterms:created>
  <dc:creator>Bob McKinney</dc:creator>
  <dc:description/>
  <dc:language>en-CA</dc:language>
  <cp:lastModifiedBy>Bob McKinney</cp:lastModifiedBy>
  <cp:lastPrinted>2001-03-06T11:14:00Z</cp:lastPrinted>
  <dcterms:modified xsi:type="dcterms:W3CDTF">2001-06-04T11:22:00Z</dcterms:modified>
  <cp:revision>3</cp:revision>
  <dc:subject/>
  <dc:title>Capst9ne</dc:title>
</cp:coreProperties>
</file>