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rPr/>
      </w:pPr>
      <w:r>
        <w:rPr/>
      </w:r>
    </w:p>
    <w:p>
      <w:pPr>
        <w:pStyle w:val="Normal"/>
        <w:ind w:hanging="1440" w:start="1440" w:end="0"/>
        <w:rPr>
          <w:color w:val="0000FF"/>
        </w:rPr>
      </w:pPr>
      <w:r>
        <w:rPr>
          <w:color w:val="0000FF"/>
        </w:rPr>
        <w:t>Tuesday May 29, 2001</w: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39.75pt" filled="f" o:ole="">
            <v:imagedata r:id="rId3" o:title=""/>
          </v:shape>
          <o:OLEObject Type="Embed" ProgID="Excel.Sheet.12" ShapeID="ole_rId2" DrawAspect="Content" ObjectID="_1112510436" r:id="rId2"/>
        </w:object>
      </w:r>
    </w:p>
    <w:p>
      <w:pPr>
        <w:pStyle w:val="Normal"/>
        <w:jc w:val="both"/>
        <w:rPr>
          <w:color w:val="0000FF"/>
        </w:rPr>
      </w:pPr>
      <w:r>
        <w:rPr>
          <w:color w:val="0000FF"/>
        </w:rPr>
      </w:r>
    </w:p>
    <w:p>
      <w:pPr>
        <w:pStyle w:val="Heading2"/>
        <w:rPr/>
      </w:pPr>
      <w:r>
        <w:rPr/>
        <w:t>CFTC Commitment of Traders as of May 22</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4,399</w:t>
        <w:tab/>
        <w:tab/>
        <w:t>-682</w:t>
        <w:tab/>
        <w:tab/>
        <w:t>31,702</w:t>
        <w:tab/>
        <w:tab/>
        <w:t>+5,179</w:t>
        <w:tab/>
        <w:tab/>
        <w:t>-27,303</w:t>
        <w:tab/>
        <w:t>+5,861</w:t>
      </w:r>
    </w:p>
    <w:p>
      <w:pPr>
        <w:pStyle w:val="Normal"/>
        <w:ind w:hanging="1440" w:start="1440" w:end="0"/>
        <w:jc w:val="both"/>
        <w:rPr/>
      </w:pPr>
      <w:r>
        <w:rPr/>
      </w:r>
    </w:p>
    <w:p>
      <w:pPr>
        <w:pStyle w:val="Normal"/>
        <w:ind w:hanging="1440" w:start="1440" w:end="0"/>
        <w:jc w:val="both"/>
        <w:rPr/>
      </w:pPr>
      <w:r>
        <w:rPr/>
        <w:t>Non-Reportable</w:t>
        <w:tab/>
        <w:t>40,280</w:t>
        <w:tab/>
        <w:tab/>
        <w:t>-7,851</w:t>
        <w:tab/>
        <w:tab/>
        <w:t>25,893</w:t>
        <w:tab/>
        <w:tab/>
        <w:t>-5,009</w:t>
        <w:tab/>
        <w:tab/>
        <w:t>+14,387</w:t>
        <w:tab/>
        <w:t>+2,842</w:t>
      </w:r>
    </w:p>
    <w:p>
      <w:pPr>
        <w:pStyle w:val="Normal"/>
        <w:jc w:val="both"/>
        <w:rPr>
          <w:color w:val="000000"/>
        </w:rPr>
      </w:pPr>
      <w:r>
        <w:rPr>
          <w:color w:val="000000"/>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00"/>
        </w:rPr>
      </w:pPr>
      <w:r>
        <w:rPr>
          <w:color w:val="0000FF"/>
        </w:rPr>
        <w:t>This weeks report shows the “funds” getting even shorter, as we had expected.  This now leaves them with a quite large net short position by historical standards.  We should now be on the look out for any catalyst that might cause them to begin to cover this quite large net short position, because when this occurs it should be a quite significant factor in the market at that time.</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2001-05-29T11:39:00Z</dcterms:created>
  <dc:creator>Bob McKinney</dc:creator>
  <dc:description/>
  <dc:language>en-CA</dc:language>
  <cp:lastModifiedBy>Bob McKinney</cp:lastModifiedBy>
  <cp:lastPrinted>2001-03-06T11:14:00Z</cp:lastPrinted>
  <dcterms:modified xsi:type="dcterms:W3CDTF">2001-05-29T11:39:00Z</dcterms:modified>
  <cp:revision>2</cp:revision>
  <dc:subject/>
  <dc:title>Capst9ne</dc:title>
</cp:coreProperties>
</file>