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xlsx" ContentType="application/vnd.openxmlformats-officedocument.spreadsheetml.sheet"/>
  <Override PartName="/word/media/image1.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color w:val="008000"/>
          <w:sz w:val="44"/>
        </w:rPr>
      </w:pPr>
      <w:r>
        <w:rPr>
          <w:color w:val="008000"/>
          <w:sz w:val="44"/>
        </w:rPr>
        <w:t>Capstone Trading Advisors Inc.</w:t>
        <w:tab/>
        <w:tab/>
        <w:tab/>
        <w:tab/>
        <w:t>830-249-7007</w:t>
      </w:r>
    </w:p>
    <w:p>
      <w:pPr>
        <w:pStyle w:val="Normal"/>
        <w:rPr>
          <w:color w:val="008000"/>
          <w:sz w:val="44"/>
        </w:rPr>
      </w:pPr>
      <w:r>
        <w:rPr>
          <w:color w:val="008000"/>
          <w:sz w:val="44"/>
        </w:rPr>
      </w:r>
    </w:p>
    <w:p>
      <w:pPr>
        <w:pStyle w:val="Normal"/>
        <w:ind w:hanging="1440" w:start="1440" w:end="0"/>
        <w:rPr>
          <w:color w:val="0000FF"/>
        </w:rPr>
      </w:pPr>
      <w:r>
        <w:rPr>
          <w:color w:val="0000FF"/>
        </w:rPr>
        <w:t>Monday February 4, 2002</w:t>
      </w:r>
    </w:p>
    <w:p>
      <w:pPr>
        <w:pStyle w:val="Normal"/>
        <w:ind w:hanging="1440" w:start="1440" w:end="0"/>
        <w:rPr>
          <w:color w:val="0000FF"/>
        </w:rPr>
      </w:pPr>
      <w:r>
        <w:rPr>
          <w:color w:val="0000FF"/>
        </w:rPr>
      </w:r>
    </w:p>
    <w:p>
      <w:pPr>
        <w:pStyle w:val="Normal"/>
        <w:ind w:hanging="1440" w:start="1440" w:end="0"/>
        <w:rPr/>
      </w:pPr>
      <w:r>
        <w:rPr/>
        <w:object w:dxaOrig="11521" w:dyaOrig="7425">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549pt;height:371.25pt" filled="f" o:ole="">
            <v:imagedata r:id="rId3" o:title=""/>
          </v:shape>
          <o:OLEObject Type="Embed" ProgID="Excel.Sheet.12" ShapeID="ole_rId2" DrawAspect="Content" ObjectID="_627201410" r:id="rId2"/>
        </w:object>
      </w:r>
    </w:p>
    <w:p>
      <w:pPr>
        <w:pStyle w:val="Normal"/>
        <w:jc w:val="both"/>
        <w:rPr/>
      </w:pPr>
      <w:r>
        <w:rPr/>
      </w:r>
    </w:p>
    <w:p>
      <w:pPr>
        <w:pStyle w:val="Heading2"/>
        <w:rPr/>
      </w:pPr>
      <w:r>
        <w:rPr/>
        <w:t>CFTC Commitment of Traders as of  Jan 29</w:t>
      </w:r>
    </w:p>
    <w:p>
      <w:pPr>
        <w:pStyle w:val="Normal"/>
        <w:ind w:hanging="1440" w:start="1440" w:end="0"/>
        <w:jc w:val="both"/>
        <w:rPr/>
      </w:pPr>
      <w:r>
        <w:rPr/>
        <w:tab/>
        <w:tab/>
        <w:tab/>
      </w:r>
    </w:p>
    <w:p>
      <w:pPr>
        <w:pStyle w:val="Normal"/>
        <w:ind w:hanging="1440" w:start="1440" w:end="0"/>
        <w:jc w:val="both"/>
        <w:rPr/>
      </w:pPr>
      <w:r>
        <w:rPr/>
        <w:tab/>
        <w:tab/>
      </w:r>
      <w:r>
        <w:rPr>
          <w:u w:val="single"/>
        </w:rPr>
        <w:t>Long</w:t>
      </w:r>
      <w:r>
        <w:rPr/>
        <w:tab/>
        <w:tab/>
      </w:r>
      <w:r>
        <w:rPr>
          <w:u w:val="single"/>
        </w:rPr>
        <w:t>Change</w:t>
      </w:r>
      <w:r>
        <w:rPr/>
        <w:tab/>
      </w:r>
      <w:r>
        <w:rPr>
          <w:u w:val="single"/>
        </w:rPr>
        <w:t>Short</w:t>
      </w:r>
      <w:r>
        <w:rPr/>
        <w:tab/>
        <w:tab/>
      </w:r>
      <w:r>
        <w:rPr>
          <w:u w:val="single"/>
        </w:rPr>
        <w:t>Change</w:t>
      </w:r>
      <w:r>
        <w:rPr/>
        <w:tab/>
      </w:r>
      <w:r>
        <w:rPr>
          <w:u w:val="single"/>
        </w:rPr>
        <w:t>Net</w:t>
      </w:r>
      <w:r>
        <w:rPr/>
        <w:t xml:space="preserve"> </w:t>
        <w:tab/>
        <w:tab/>
      </w:r>
      <w:r>
        <w:rPr>
          <w:u w:val="single"/>
        </w:rPr>
        <w:t>Change</w:t>
      </w:r>
    </w:p>
    <w:p>
      <w:pPr>
        <w:pStyle w:val="Normal"/>
        <w:ind w:hanging="1440" w:start="1440" w:end="0"/>
        <w:jc w:val="both"/>
        <w:rPr>
          <w:u w:val="single"/>
        </w:rPr>
      </w:pPr>
      <w:r>
        <w:rPr>
          <w:u w:val="single"/>
        </w:rPr>
      </w:r>
    </w:p>
    <w:p>
      <w:pPr>
        <w:pStyle w:val="Normal"/>
        <w:ind w:hanging="1440" w:start="1440" w:end="0"/>
        <w:jc w:val="both"/>
        <w:rPr/>
      </w:pPr>
      <w:r>
        <w:rPr/>
        <w:t>Non-Commercial</w:t>
        <w:tab/>
        <w:t>11,147</w:t>
        <w:tab/>
        <w:tab/>
        <w:t>+7,681</w:t>
        <w:tab/>
        <w:tab/>
        <w:t>59,577</w:t>
        <w:tab/>
        <w:tab/>
        <w:t>-6,352</w:t>
        <w:tab/>
        <w:tab/>
        <w:t>-48,430</w:t>
        <w:tab/>
        <w:t>+14,033</w:t>
      </w:r>
    </w:p>
    <w:p>
      <w:pPr>
        <w:pStyle w:val="Normal"/>
        <w:ind w:hanging="1440" w:start="1440" w:end="0"/>
        <w:jc w:val="both"/>
        <w:rPr/>
      </w:pPr>
      <w:r>
        <w:rPr/>
      </w:r>
    </w:p>
    <w:p>
      <w:pPr>
        <w:pStyle w:val="Normal"/>
        <w:ind w:hanging="1440" w:start="1440" w:end="0"/>
        <w:jc w:val="both"/>
        <w:rPr>
          <w:color w:val="0000FF"/>
        </w:rPr>
      </w:pPr>
      <w:r>
        <w:rPr/>
        <w:t>Non-Reportable</w:t>
        <w:tab/>
        <w:t>37,073</w:t>
        <w:tab/>
        <w:tab/>
        <w:t>-2,072</w:t>
        <w:tab/>
        <w:tab/>
        <w:t>32,429</w:t>
        <w:tab/>
        <w:tab/>
        <w:t>-2,247</w:t>
        <w:tab/>
        <w:t xml:space="preserve">  </w:t>
        <w:tab/>
        <w:t>+4,644</w:t>
        <w:tab/>
        <w:tab/>
        <w:t>-175</w:t>
      </w:r>
    </w:p>
    <w:p>
      <w:pPr>
        <w:pStyle w:val="Normal"/>
        <w:jc w:val="both"/>
        <w:rPr>
          <w:color w:val="0000FF"/>
        </w:rPr>
      </w:pPr>
      <w:r>
        <w:rPr>
          <w:color w:val="0000FF"/>
        </w:rPr>
      </w:r>
    </w:p>
    <w:p>
      <w:pPr>
        <w:pStyle w:val="Normal"/>
        <w:ind w:hanging="720" w:start="720" w:end="0"/>
        <w:jc w:val="both"/>
        <w:rPr>
          <w:color w:val="0000FF"/>
        </w:rPr>
      </w:pPr>
      <w:r>
        <w:rPr>
          <w:color w:val="0000FF"/>
        </w:rPr>
        <w:t>**</w:t>
        <w:tab/>
        <w:t xml:space="preserve">Notice the sharp reduction in the “funds” net short positions on this latest report.  While this reduction will likely reduce the upside potential for the markets current short covering rally, the remaining very large net short position should continue to support the idea that the market will continue to be in a short covering mode in this timeframe.  </w:t>
      </w:r>
    </w:p>
    <w:p>
      <w:pPr>
        <w:pStyle w:val="Normal"/>
        <w:ind w:hanging="720" w:start="720" w:end="0"/>
        <w:jc w:val="both"/>
        <w:rPr>
          <w:color w:val="0000FF"/>
        </w:rPr>
      </w:pPr>
      <w:r>
        <w:rPr>
          <w:color w:val="0000FF"/>
        </w:rPr>
      </w:r>
    </w:p>
    <w:p>
      <w:pPr>
        <w:pStyle w:val="Normal"/>
        <w:jc w:val="both"/>
        <w:rPr>
          <w:color w:val="0000FF"/>
        </w:rPr>
      </w:pPr>
      <w:r>
        <w:rPr>
          <w:color w:val="0000FF"/>
        </w:rPr>
        <w:t xml:space="preserve"> </w:t>
      </w:r>
    </w:p>
    <w:p>
      <w:pPr>
        <w:pStyle w:val="BodyText"/>
        <w:jc w:val="both"/>
        <w:rPr>
          <w:color w:val="008000"/>
        </w:rPr>
      </w:pPr>
      <w:r>
        <w:rPr>
          <w:color w:val="008000"/>
        </w:rPr>
        <w:t>The information herein is believed to be reliable, however Capstone Trading Advisors Inc. does not warrant its completeness or accuracy.  The opinions and estimates contained constitute our judgment and are subject to change without notice.  Past performance is not indicative of future results.  The information contained herein is not intended as an offer or solicitation for the purchase or sale of any financial instrument or commodities.  Chart provided with permission from CQG Inc.</w:t>
      </w:r>
    </w:p>
    <w:sectPr>
      <w:type w:val="nextPage"/>
      <w:pgSz w:w="12240" w:h="15840"/>
      <w:pgMar w:left="720" w:right="720"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askerville Old Face">
    <w:charset w:val="00" w:characterSet="windows-1252"/>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BreakWrappedTable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pBdr>
        <w:top w:val="single" w:sz="4" w:space="1" w:color="000000"/>
        <w:left w:val="single" w:sz="4" w:space="4" w:color="000000"/>
        <w:bottom w:val="single" w:sz="4" w:space="1" w:color="000000"/>
        <w:right w:val="single" w:sz="4" w:space="4" w:color="000000"/>
      </w:pBdr>
      <w:outlineLvl w:val="0"/>
    </w:pPr>
    <w:rPr>
      <w:rFonts w:ascii="Baskerville Old Face" w:hAnsi="Baskerville Old Face" w:cs="Baskerville Old Face"/>
      <w:color w:val="333399"/>
      <w:sz w:val="36"/>
    </w:rPr>
  </w:style>
  <w:style w:type="paragraph" w:styleId="Heading2">
    <w:name w:val="heading 2"/>
    <w:basedOn w:val="Normal"/>
    <w:next w:val="Normal"/>
    <w:qFormat/>
    <w:pPr>
      <w:keepNext w:val="true"/>
      <w:numPr>
        <w:ilvl w:val="1"/>
        <w:numId w:val="1"/>
      </w:numPr>
      <w:ind w:hanging="1440" w:start="1440" w:end="0"/>
      <w:jc w:val="center"/>
      <w:outlineLvl w:val="1"/>
    </w:pPr>
    <w:rPr>
      <w:u w:val="singl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pBdr>
        <w:top w:val="single" w:sz="4" w:space="1" w:color="000000"/>
        <w:left w:val="single" w:sz="4" w:space="4" w:color="000000"/>
        <w:bottom w:val="single" w:sz="4" w:space="1" w:color="000000"/>
        <w:right w:val="single" w:sz="4" w:space="4" w:color="000000"/>
      </w:pBdr>
    </w:pPr>
    <w:rPr>
      <w:rFonts w:ascii="Baskerville Old Face" w:hAnsi="Baskerville Old Face" w:cs="Baskerville Old Face"/>
      <w:color w:val="333399"/>
      <w:sz w:val="1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1440" w:start="1440" w:end="0"/>
      <w:jc w:val="both"/>
    </w:pPr>
    <w:rPr/>
  </w:style>
  <w:style w:type="paragraph" w:styleId="BodyTextIndent2">
    <w:name w:val="Body Text Indent 2"/>
    <w:basedOn w:val="Normal"/>
    <w:qFormat/>
    <w:pPr>
      <w:ind w:hanging="2880" w:start="2880" w:end="0"/>
      <w:jc w:val="both"/>
    </w:pPr>
    <w:rPr>
      <w:rFonts w:ascii="Baskerville Old Face" w:hAnsi="Baskerville Old Face" w:cs="Baskerville Old Face"/>
      <w:color w:val="333399"/>
      <w:sz w:val="16"/>
    </w:rPr>
  </w:style>
  <w:style w:type="paragraph" w:styleId="BodyText2">
    <w:name w:val="Body Text 2"/>
    <w:basedOn w:val="Normal"/>
    <w:qFormat/>
    <w:pPr>
      <w:jc w:val="both"/>
    </w:pPr>
    <w:rPr>
      <w:sz w:val="20"/>
    </w:rPr>
  </w:style>
  <w:style w:type="paragraph" w:styleId="BodyText3">
    <w:name w:val="Body Text 3"/>
    <w:basedOn w:val="Normal"/>
    <w:qFormat/>
    <w:pPr>
      <w:jc w:val="both"/>
    </w:pPr>
    <w:rPr/>
  </w:style>
  <w:style w:type="paragraph" w:styleId="BodyTextIndent3">
    <w:name w:val="Body Text Indent 3"/>
    <w:basedOn w:val="Normal"/>
    <w:qFormat/>
    <w:pPr>
      <w:ind w:hanging="720" w:start="720" w:end="0"/>
      <w:jc w:val="both"/>
    </w:pPr>
    <w:rPr>
      <w:color w:val="0000F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package" Target="embeddings/oleObject1.xlsx"/><Relationship Id="rId3" Type="http://schemas.openxmlformats.org/officeDocument/2006/relationships/image" Target="media/image1.wmf"/><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2002-02-04T13:03:00Z</dcterms:created>
  <dc:creator>Bob McKinney</dc:creator>
  <dc:description/>
  <dc:language>en-CA</dc:language>
  <cp:lastModifiedBy>Mark McKinney</cp:lastModifiedBy>
  <cp:lastPrinted>2001-03-06T11:14:00Z</cp:lastPrinted>
  <dcterms:modified xsi:type="dcterms:W3CDTF">2002-02-04T13:03:00Z</dcterms:modified>
  <cp:revision>2</cp:revision>
  <dc:subject/>
  <dc:title>Capst9ne</dc:title>
</cp:coreProperties>
</file>