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ab/>
        <w:tab/>
        <w:tab/>
        <w:t>830-249-7007</w:t>
      </w:r>
    </w:p>
    <w:p>
      <w:pPr>
        <w:pStyle w:val="Normal"/>
        <w:rPr>
          <w:color w:val="008000"/>
          <w:sz w:val="44"/>
        </w:rPr>
      </w:pPr>
      <w:r>
        <w:rPr>
          <w:color w:val="008000"/>
          <w:sz w:val="44"/>
        </w:rPr>
      </w:r>
    </w:p>
    <w:p>
      <w:pPr>
        <w:pStyle w:val="Normal"/>
        <w:ind w:hanging="1440" w:start="1440" w:end="0"/>
        <w:rPr>
          <w:color w:val="0000FF"/>
        </w:rPr>
      </w:pPr>
      <w:r>
        <w:rPr>
          <w:color w:val="0000FF"/>
        </w:rPr>
        <w:t>Monday January 28, 2002</w:t>
      </w:r>
    </w:p>
    <w:p>
      <w:pPr>
        <w:pStyle w:val="Normal"/>
        <w:ind w:hanging="1440" w:start="1440" w:end="0"/>
        <w:rPr>
          <w:color w:val="0000FF"/>
        </w:rPr>
      </w:pPr>
      <w:r>
        <w:rPr>
          <w:color w:val="0000FF"/>
        </w:rPr>
      </w:r>
    </w:p>
    <w:p>
      <w:pPr>
        <w:pStyle w:val="Normal"/>
        <w:ind w:hanging="1440" w:start="1440" w:end="0"/>
        <w:rPr>
          <w:color w:val="0000FF"/>
        </w:rPr>
      </w:pPr>
      <w:r>
        <w:rPr/>
        <w:object w:dxaOrig="11521" w:dyaOrig="742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555pt;height:371.25pt" filled="f" o:ole="">
            <v:imagedata r:id="rId3" o:title=""/>
          </v:shape>
          <o:OLEObject Type="Embed" ProgID="Excel.Sheet.12" ShapeID="ole_rId2" DrawAspect="Content" ObjectID="_1303088933" r:id="rId2"/>
        </w:object>
      </w:r>
    </w:p>
    <w:p>
      <w:pPr>
        <w:pStyle w:val="Normal"/>
        <w:jc w:val="both"/>
        <w:rPr>
          <w:color w:val="0000FF"/>
        </w:rPr>
      </w:pPr>
      <w:r>
        <w:rPr>
          <w:color w:val="0000FF"/>
        </w:rPr>
      </w:r>
    </w:p>
    <w:p>
      <w:pPr>
        <w:pStyle w:val="Normal"/>
        <w:jc w:val="both"/>
        <w:rPr/>
      </w:pPr>
      <w:r>
        <w:rPr/>
      </w:r>
    </w:p>
    <w:p>
      <w:pPr>
        <w:pStyle w:val="Heading2"/>
        <w:rPr/>
      </w:pPr>
      <w:r>
        <w:rPr/>
        <w:t>CFTC Commitment of Traders as of  Jan 22</w:t>
      </w:r>
    </w:p>
    <w:p>
      <w:pPr>
        <w:pStyle w:val="Normal"/>
        <w:ind w:hanging="1440" w:start="1440" w:end="0"/>
        <w:jc w:val="both"/>
        <w:rPr/>
      </w:pPr>
      <w:r>
        <w:rPr/>
        <w:tab/>
        <w:tab/>
        <w:tab/>
      </w:r>
    </w:p>
    <w:p>
      <w:pPr>
        <w:pStyle w:val="Normal"/>
        <w:ind w:hanging="1440" w:start="1440" w:end="0"/>
        <w:jc w:val="both"/>
        <w:rPr/>
      </w:pPr>
      <w:r>
        <w:rPr/>
        <w:tab/>
        <w:tab/>
      </w:r>
      <w:r>
        <w:rPr>
          <w:u w:val="single"/>
        </w:rPr>
        <w:t>Long</w:t>
      </w:r>
      <w:r>
        <w:rPr/>
        <w:tab/>
        <w:tab/>
      </w:r>
      <w:r>
        <w:rPr>
          <w:u w:val="single"/>
        </w:rPr>
        <w:t>Change</w:t>
      </w:r>
      <w:r>
        <w:rPr/>
        <w:tab/>
      </w:r>
      <w:r>
        <w:rPr>
          <w:u w:val="single"/>
        </w:rPr>
        <w:t>Short</w:t>
      </w:r>
      <w:r>
        <w:rPr/>
        <w:tab/>
        <w:tab/>
      </w:r>
      <w:r>
        <w:rPr>
          <w:u w:val="single"/>
        </w:rPr>
        <w:t>Change</w:t>
      </w:r>
      <w:r>
        <w:rPr/>
        <w:tab/>
      </w:r>
      <w:r>
        <w:rPr>
          <w:u w:val="single"/>
        </w:rPr>
        <w:t>Net</w:t>
      </w:r>
      <w:r>
        <w:rPr/>
        <w:t xml:space="preserve"> </w:t>
        <w:tab/>
        <w:tab/>
      </w:r>
      <w:r>
        <w:rPr>
          <w:u w:val="single"/>
        </w:rPr>
        <w:t>Change</w:t>
      </w:r>
    </w:p>
    <w:p>
      <w:pPr>
        <w:pStyle w:val="Normal"/>
        <w:ind w:hanging="1440" w:start="1440" w:end="0"/>
        <w:jc w:val="both"/>
        <w:rPr>
          <w:u w:val="single"/>
        </w:rPr>
      </w:pPr>
      <w:r>
        <w:rPr>
          <w:u w:val="single"/>
        </w:rPr>
      </w:r>
    </w:p>
    <w:p>
      <w:pPr>
        <w:pStyle w:val="Normal"/>
        <w:ind w:hanging="1440" w:start="1440" w:end="0"/>
        <w:jc w:val="both"/>
        <w:rPr/>
      </w:pPr>
      <w:r>
        <w:rPr/>
        <w:t>Non-Commercial</w:t>
        <w:tab/>
        <w:t>3,286</w:t>
        <w:tab/>
        <w:tab/>
        <w:t>-510</w:t>
        <w:tab/>
        <w:tab/>
        <w:t>65,929</w:t>
        <w:tab/>
        <w:tab/>
        <w:t>+8,913</w:t>
        <w:tab/>
        <w:tab/>
        <w:t>-62,643</w:t>
        <w:tab/>
        <w:t>-9,423</w:t>
      </w:r>
    </w:p>
    <w:p>
      <w:pPr>
        <w:pStyle w:val="Normal"/>
        <w:ind w:hanging="1440" w:start="1440" w:end="0"/>
        <w:jc w:val="both"/>
        <w:rPr/>
      </w:pPr>
      <w:r>
        <w:rPr/>
      </w:r>
    </w:p>
    <w:p>
      <w:pPr>
        <w:pStyle w:val="Normal"/>
        <w:ind w:hanging="1440" w:start="1440" w:end="0"/>
        <w:jc w:val="both"/>
        <w:rPr>
          <w:color w:val="0000FF"/>
        </w:rPr>
      </w:pPr>
      <w:r>
        <w:rPr/>
        <w:t>Non-Reportable</w:t>
        <w:tab/>
        <w:t>39,145</w:t>
        <w:tab/>
        <w:tab/>
        <w:t>+3,060</w:t>
        <w:tab/>
        <w:tab/>
        <w:t>34,676</w:t>
        <w:tab/>
        <w:tab/>
        <w:t>+6,111</w:t>
        <w:tab/>
        <w:t xml:space="preserve">  </w:t>
        <w:tab/>
        <w:t>+4,469</w:t>
        <w:tab/>
        <w:tab/>
        <w:t>-3,051</w:t>
      </w:r>
    </w:p>
    <w:p>
      <w:pPr>
        <w:pStyle w:val="Normal"/>
        <w:jc w:val="both"/>
        <w:rPr>
          <w:color w:val="0000FF"/>
        </w:rPr>
      </w:pPr>
      <w:r>
        <w:rPr>
          <w:color w:val="0000FF"/>
        </w:rPr>
      </w:r>
    </w:p>
    <w:p>
      <w:pPr>
        <w:pStyle w:val="Normal"/>
        <w:jc w:val="both"/>
        <w:rPr>
          <w:color w:val="0000FF"/>
        </w:rPr>
      </w:pPr>
      <w:r>
        <w:rPr>
          <w:color w:val="0000FF"/>
        </w:rPr>
      </w:r>
    </w:p>
    <w:p>
      <w:pPr>
        <w:pStyle w:val="Normal"/>
        <w:ind w:hanging="720" w:start="720" w:end="0"/>
        <w:jc w:val="both"/>
        <w:rPr/>
      </w:pPr>
      <w:r>
        <w:rPr>
          <w:color w:val="0000FF"/>
        </w:rPr>
        <w:t>**</w:t>
        <w:tab/>
        <w:t xml:space="preserve">The huge net short position held by the “funds” has now gotten even larger.  This places their short position at a </w:t>
      </w:r>
      <w:r>
        <w:rPr>
          <w:i/>
          <w:iCs/>
          <w:color w:val="0000FF"/>
        </w:rPr>
        <w:t>much</w:t>
      </w:r>
      <w:r>
        <w:rPr>
          <w:color w:val="0000FF"/>
        </w:rPr>
        <w:t xml:space="preserve"> larger exposure than has been witnessed at any point in the past several years.</w:t>
      </w:r>
    </w:p>
    <w:p>
      <w:pPr>
        <w:pStyle w:val="Normal"/>
        <w:jc w:val="both"/>
        <w:rPr>
          <w:color w:val="0000FF"/>
        </w:rPr>
      </w:pPr>
      <w:r>
        <w:rPr>
          <w:color w:val="0000FF"/>
        </w:rPr>
      </w:r>
    </w:p>
    <w:p>
      <w:pPr>
        <w:pStyle w:val="Normal"/>
        <w:jc w:val="both"/>
        <w:rPr>
          <w:color w:val="0000FF"/>
        </w:rPr>
      </w:pPr>
      <w:r>
        <w:rPr>
          <w:color w:val="0000FF"/>
        </w:rPr>
      </w:r>
    </w:p>
    <w:p>
      <w:pPr>
        <w:pStyle w:val="Normal"/>
        <w:jc w:val="both"/>
        <w:rPr>
          <w:color w:val="0000FF"/>
        </w:rPr>
      </w:pPr>
      <w:r>
        <w:rPr>
          <w:color w:val="0000FF"/>
        </w:rPr>
        <w:t xml:space="preserve"> </w:t>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 w:hAnsi="Baskerville Old Face" w:cs="Baskerville Old Face"/>
      <w:color w:val="333399"/>
      <w:sz w:val="36"/>
    </w:rPr>
  </w:style>
  <w:style w:type="paragraph" w:styleId="Heading2">
    <w:name w:val="heading 2"/>
    <w:basedOn w:val="Normal"/>
    <w:next w:val="Normal"/>
    <w:qFormat/>
    <w:pPr>
      <w:keepNext w:val="true"/>
      <w:numPr>
        <w:ilvl w:val="1"/>
        <w:numId w:val="1"/>
      </w:numPr>
      <w:ind w:hanging="1440" w:start="1440" w:end="0"/>
      <w:jc w:val="center"/>
      <w:outlineLvl w:val="1"/>
    </w:pPr>
    <w:rPr>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 w:hAnsi="Baskerville Old Face" w:cs="Baskerville Old Face"/>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 w:hAnsi="Baskerville Old Face" w:cs="Baskerville Old Face"/>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tyle>
  <w:style w:type="paragraph" w:styleId="BodyTextIndent3">
    <w:name w:val="Body Text Indent 3"/>
    <w:basedOn w:val="Normal"/>
    <w:qFormat/>
    <w:pPr>
      <w:ind w:hanging="720" w:start="720" w:end="0"/>
      <w:jc w:val="both"/>
    </w:pPr>
    <w:rPr>
      <w:color w:val="0000F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2002-01-28T12:07:00Z</dcterms:created>
  <dc:creator>Bob McKinney</dc:creator>
  <dc:description/>
  <dc:language>en-CA</dc:language>
  <cp:lastModifiedBy>Mark McKinney</cp:lastModifiedBy>
  <cp:lastPrinted>2001-03-06T11:14:00Z</cp:lastPrinted>
  <dcterms:modified xsi:type="dcterms:W3CDTF">2002-01-28T12:29:00Z</dcterms:modified>
  <cp:revision>6</cp:revision>
  <dc:subject/>
  <dc:title>Capst9ne</dc:title>
</cp:coreProperties>
</file>