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color w:val="008000"/>
          <w:sz w:val="44"/>
        </w:rPr>
      </w:pPr>
      <w:r>
        <w:rPr>
          <w:color w:val="008000"/>
          <w:sz w:val="44"/>
        </w:rPr>
        <w:t>Capstone Trading Advisors Inc.</w:t>
        <w:tab/>
        <w:tab/>
        <w:tab/>
        <w:tab/>
        <w:t>830-249-7007</w:t>
      </w:r>
    </w:p>
    <w:p>
      <w:pPr>
        <w:pStyle w:val="Normal"/>
        <w:rPr>
          <w:color w:val="008000"/>
          <w:sz w:val="44"/>
        </w:rPr>
      </w:pPr>
      <w:r>
        <w:rPr>
          <w:color w:val="008000"/>
          <w:sz w:val="44"/>
        </w:rPr>
      </w:r>
    </w:p>
    <w:p>
      <w:pPr>
        <w:pStyle w:val="Normal"/>
        <w:ind w:hanging="1440" w:start="1440" w:end="0"/>
        <w:rPr>
          <w:color w:val="0000FF"/>
        </w:rPr>
      </w:pPr>
      <w:r>
        <w:rPr>
          <w:color w:val="0000FF"/>
        </w:rPr>
        <w:t>Tuesday January 22, 2002</w:t>
      </w:r>
    </w:p>
    <w:p>
      <w:pPr>
        <w:pStyle w:val="Normal"/>
        <w:ind w:hanging="1440" w:start="1440" w:end="0"/>
        <w:rPr>
          <w:color w:val="0000FF"/>
        </w:rPr>
      </w:pPr>
      <w:r>
        <w:rPr>
          <w:color w:val="0000FF"/>
        </w:rPr>
      </w:r>
    </w:p>
    <w:p>
      <w:pPr>
        <w:pStyle w:val="Normal"/>
        <w:ind w:hanging="1440" w:start="1440" w:end="0"/>
        <w:rPr>
          <w:color w:val="0000FF"/>
        </w:rPr>
      </w:pPr>
      <w:r>
        <w:rPr/>
        <w:object w:dxaOrig="11521" w:dyaOrig="7425">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545.25pt;height:371.25pt" filled="f" o:ole="">
            <v:imagedata r:id="rId3" o:title=""/>
          </v:shape>
          <o:OLEObject Type="Embed" ProgID="Excel.Sheet.12" ShapeID="ole_rId2" DrawAspect="Content" ObjectID="_1377541431" r:id="rId2"/>
        </w:object>
      </w:r>
    </w:p>
    <w:p>
      <w:pPr>
        <w:pStyle w:val="Normal"/>
        <w:jc w:val="both"/>
        <w:rPr>
          <w:color w:val="0000FF"/>
        </w:rPr>
      </w:pPr>
      <w:r>
        <w:rPr>
          <w:color w:val="0000FF"/>
        </w:rPr>
      </w:r>
    </w:p>
    <w:p>
      <w:pPr>
        <w:pStyle w:val="Normal"/>
        <w:jc w:val="both"/>
        <w:rPr/>
      </w:pPr>
      <w:r>
        <w:rPr/>
      </w:r>
    </w:p>
    <w:p>
      <w:pPr>
        <w:pStyle w:val="Heading2"/>
        <w:rPr/>
      </w:pPr>
      <w:r>
        <w:rPr/>
        <w:t>CFTC Commitment of Traders as of Dec Jan 15</w:t>
      </w:r>
    </w:p>
    <w:p>
      <w:pPr>
        <w:pStyle w:val="Normal"/>
        <w:ind w:hanging="1440" w:start="1440" w:end="0"/>
        <w:jc w:val="both"/>
        <w:rPr/>
      </w:pPr>
      <w:r>
        <w:rPr/>
        <w:tab/>
        <w:tab/>
        <w:tab/>
      </w:r>
    </w:p>
    <w:p>
      <w:pPr>
        <w:pStyle w:val="Normal"/>
        <w:ind w:hanging="1440" w:start="1440" w:end="0"/>
        <w:jc w:val="both"/>
        <w:rPr/>
      </w:pPr>
      <w:r>
        <w:rPr/>
        <w:tab/>
        <w:tab/>
      </w:r>
      <w:r>
        <w:rPr>
          <w:u w:val="single"/>
        </w:rPr>
        <w:t>Long</w:t>
      </w:r>
      <w:r>
        <w:rPr/>
        <w:tab/>
        <w:tab/>
      </w:r>
      <w:r>
        <w:rPr>
          <w:u w:val="single"/>
        </w:rPr>
        <w:t>Change</w:t>
      </w:r>
      <w:r>
        <w:rPr/>
        <w:tab/>
      </w:r>
      <w:r>
        <w:rPr>
          <w:u w:val="single"/>
        </w:rPr>
        <w:t>Short</w:t>
      </w:r>
      <w:r>
        <w:rPr/>
        <w:tab/>
        <w:tab/>
      </w:r>
      <w:r>
        <w:rPr>
          <w:u w:val="single"/>
        </w:rPr>
        <w:t>Change</w:t>
      </w:r>
      <w:r>
        <w:rPr/>
        <w:tab/>
      </w:r>
      <w:r>
        <w:rPr>
          <w:u w:val="single"/>
        </w:rPr>
        <w:t>Net</w:t>
      </w:r>
      <w:r>
        <w:rPr/>
        <w:t xml:space="preserve"> </w:t>
        <w:tab/>
        <w:tab/>
      </w:r>
      <w:r>
        <w:rPr>
          <w:u w:val="single"/>
        </w:rPr>
        <w:t>Change</w:t>
      </w:r>
    </w:p>
    <w:p>
      <w:pPr>
        <w:pStyle w:val="Normal"/>
        <w:ind w:hanging="1440" w:start="1440" w:end="0"/>
        <w:jc w:val="both"/>
        <w:rPr>
          <w:u w:val="single"/>
        </w:rPr>
      </w:pPr>
      <w:r>
        <w:rPr>
          <w:u w:val="single"/>
        </w:rPr>
      </w:r>
    </w:p>
    <w:p>
      <w:pPr>
        <w:pStyle w:val="Normal"/>
        <w:ind w:hanging="1440" w:start="1440" w:end="0"/>
        <w:jc w:val="both"/>
        <w:rPr/>
      </w:pPr>
      <w:r>
        <w:rPr/>
        <w:t>Non-Commercial</w:t>
        <w:tab/>
        <w:t>3,796</w:t>
        <w:tab/>
        <w:tab/>
        <w:t>+544</w:t>
        <w:tab/>
        <w:tab/>
        <w:t>57,016</w:t>
        <w:tab/>
        <w:tab/>
        <w:t>+6,660</w:t>
        <w:tab/>
        <w:tab/>
        <w:t>-53,220</w:t>
        <w:tab/>
        <w:t>-6,116</w:t>
      </w:r>
    </w:p>
    <w:p>
      <w:pPr>
        <w:pStyle w:val="Normal"/>
        <w:ind w:hanging="1440" w:start="1440" w:end="0"/>
        <w:jc w:val="both"/>
        <w:rPr/>
      </w:pPr>
      <w:r>
        <w:rPr/>
      </w:r>
    </w:p>
    <w:p>
      <w:pPr>
        <w:pStyle w:val="Normal"/>
        <w:ind w:hanging="1440" w:start="1440" w:end="0"/>
        <w:jc w:val="both"/>
        <w:rPr>
          <w:color w:val="0000FF"/>
        </w:rPr>
      </w:pPr>
      <w:r>
        <w:rPr/>
        <w:t>Non-Reportable</w:t>
        <w:tab/>
        <w:t>36,085</w:t>
        <w:tab/>
        <w:tab/>
        <w:t>+3,996</w:t>
        <w:tab/>
        <w:tab/>
        <w:t>28,565</w:t>
        <w:tab/>
        <w:tab/>
        <w:t>+3,984</w:t>
        <w:tab/>
        <w:t xml:space="preserve">  </w:t>
        <w:tab/>
        <w:t>+7,520</w:t>
        <w:tab/>
        <w:tab/>
        <w:t>+12</w:t>
      </w:r>
    </w:p>
    <w:p>
      <w:pPr>
        <w:pStyle w:val="Normal"/>
        <w:jc w:val="both"/>
        <w:rPr>
          <w:color w:val="0000FF"/>
        </w:rPr>
      </w:pPr>
      <w:r>
        <w:rPr>
          <w:color w:val="0000FF"/>
        </w:rPr>
      </w:r>
    </w:p>
    <w:p>
      <w:pPr>
        <w:pStyle w:val="Normal"/>
        <w:jc w:val="both"/>
        <w:rPr>
          <w:color w:val="0000FF"/>
        </w:rPr>
      </w:pPr>
      <w:r>
        <w:rPr>
          <w:color w:val="0000FF"/>
        </w:rPr>
      </w:r>
    </w:p>
    <w:p>
      <w:pPr>
        <w:pStyle w:val="Normal"/>
        <w:ind w:hanging="720" w:start="720" w:end="0"/>
        <w:jc w:val="both"/>
        <w:rPr>
          <w:color w:val="0000FF"/>
        </w:rPr>
      </w:pPr>
      <w:r>
        <w:rPr>
          <w:color w:val="0000FF"/>
        </w:rPr>
        <w:t>**</w:t>
        <w:tab/>
        <w:t>The huge net short position held by the “funds” has now gotten even larger.  This places their short position at a larger exposure than has been witnessed at any point in the past several years.</w:t>
      </w:r>
    </w:p>
    <w:p>
      <w:pPr>
        <w:pStyle w:val="Normal"/>
        <w:jc w:val="both"/>
        <w:rPr>
          <w:color w:val="0000FF"/>
        </w:rPr>
      </w:pPr>
      <w:r>
        <w:rPr>
          <w:color w:val="0000FF"/>
        </w:rPr>
      </w:r>
    </w:p>
    <w:p>
      <w:pPr>
        <w:pStyle w:val="Normal"/>
        <w:jc w:val="both"/>
        <w:rPr>
          <w:color w:val="0000FF"/>
        </w:rPr>
      </w:pPr>
      <w:r>
        <w:rPr>
          <w:color w:val="0000FF"/>
        </w:rPr>
      </w:r>
    </w:p>
    <w:p>
      <w:pPr>
        <w:pStyle w:val="Normal"/>
        <w:jc w:val="both"/>
        <w:rPr>
          <w:color w:val="0000FF"/>
        </w:rPr>
      </w:pPr>
      <w:r>
        <w:rPr>
          <w:color w:val="0000FF"/>
        </w:rPr>
        <w:t xml:space="preserve"> </w:t>
      </w:r>
    </w:p>
    <w:p>
      <w:pPr>
        <w:pStyle w:val="BodyText"/>
        <w:jc w:val="both"/>
        <w:rPr>
          <w:color w:val="008000"/>
        </w:rPr>
      </w:pPr>
      <w:r>
        <w:rPr>
          <w:color w:val="008000"/>
        </w:rPr>
        <w:t>The information herein is believed to be reliable, however Capstone Trading Advisors Inc. does not warrant its completeness or accuracy.  The opinions and estimates contained constitute our judgment and are subject to change without notice.  Past performance is not indicative of future results.  The information contained herein is not intended as an offer or solicitation for the purchase or sale of any financial instrument or commodities.  Chart provided with permission from CQG Inc.</w:t>
      </w:r>
    </w:p>
    <w:sectPr>
      <w:type w:val="nextPage"/>
      <w:pgSz w:w="12240" w:h="15840"/>
      <w:pgMar w:left="720" w:right="720" w:gutter="0" w:header="0" w:top="72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askerville Old Face">
    <w:charset w:val="00" w:characterSet="windows-1252"/>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pBdr>
        <w:top w:val="single" w:sz="4" w:space="1" w:color="000000"/>
        <w:left w:val="single" w:sz="4" w:space="4" w:color="000000"/>
        <w:bottom w:val="single" w:sz="4" w:space="1" w:color="000000"/>
        <w:right w:val="single" w:sz="4" w:space="4" w:color="000000"/>
      </w:pBdr>
      <w:outlineLvl w:val="0"/>
    </w:pPr>
    <w:rPr>
      <w:rFonts w:ascii="Baskerville Old Face" w:hAnsi="Baskerville Old Face" w:cs="Baskerville Old Face"/>
      <w:color w:val="333399"/>
      <w:sz w:val="36"/>
    </w:rPr>
  </w:style>
  <w:style w:type="paragraph" w:styleId="Heading2">
    <w:name w:val="heading 2"/>
    <w:basedOn w:val="Normal"/>
    <w:next w:val="Normal"/>
    <w:qFormat/>
    <w:pPr>
      <w:keepNext w:val="true"/>
      <w:numPr>
        <w:ilvl w:val="1"/>
        <w:numId w:val="1"/>
      </w:numPr>
      <w:ind w:hanging="1440" w:start="1440" w:end="0"/>
      <w:jc w:val="center"/>
      <w:outlineLvl w:val="1"/>
    </w:pPr>
    <w:rPr>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pBdr>
        <w:top w:val="single" w:sz="4" w:space="1" w:color="000000"/>
        <w:left w:val="single" w:sz="4" w:space="4" w:color="000000"/>
        <w:bottom w:val="single" w:sz="4" w:space="1" w:color="000000"/>
        <w:right w:val="single" w:sz="4" w:space="4" w:color="000000"/>
      </w:pBdr>
    </w:pPr>
    <w:rPr>
      <w:rFonts w:ascii="Baskerville Old Face" w:hAnsi="Baskerville Old Face" w:cs="Baskerville Old Face"/>
      <w:color w:val="333399"/>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1440" w:start="1440" w:end="0"/>
      <w:jc w:val="both"/>
    </w:pPr>
    <w:rPr/>
  </w:style>
  <w:style w:type="paragraph" w:styleId="BodyTextIndent2">
    <w:name w:val="Body Text Indent 2"/>
    <w:basedOn w:val="Normal"/>
    <w:qFormat/>
    <w:pPr>
      <w:ind w:hanging="2880" w:start="2880" w:end="0"/>
      <w:jc w:val="both"/>
    </w:pPr>
    <w:rPr>
      <w:rFonts w:ascii="Baskerville Old Face" w:hAnsi="Baskerville Old Face" w:cs="Baskerville Old Face"/>
      <w:color w:val="333399"/>
      <w:sz w:val="16"/>
    </w:rPr>
  </w:style>
  <w:style w:type="paragraph" w:styleId="BodyText2">
    <w:name w:val="Body Text 2"/>
    <w:basedOn w:val="Normal"/>
    <w:qFormat/>
    <w:pPr>
      <w:jc w:val="both"/>
    </w:pPr>
    <w:rPr>
      <w:sz w:val="20"/>
    </w:rPr>
  </w:style>
  <w:style w:type="paragraph" w:styleId="BodyText3">
    <w:name w:val="Body Text 3"/>
    <w:basedOn w:val="Normal"/>
    <w:qFormat/>
    <w:pPr>
      <w:jc w:val="both"/>
    </w:pPr>
    <w:rPr/>
  </w:style>
  <w:style w:type="paragraph" w:styleId="BodyTextIndent3">
    <w:name w:val="Body Text Indent 3"/>
    <w:basedOn w:val="Normal"/>
    <w:qFormat/>
    <w:pPr>
      <w:ind w:hanging="720" w:start="720" w:end="0"/>
      <w:jc w:val="both"/>
    </w:pPr>
    <w:rPr>
      <w:color w:val="0000F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2002-01-22T12:41:00Z</dcterms:created>
  <dc:creator>Bob McKinney</dc:creator>
  <dc:description/>
  <dc:language>en-CA</dc:language>
  <cp:lastModifiedBy>Mark McKinney</cp:lastModifiedBy>
  <cp:lastPrinted>2001-03-06T11:14:00Z</cp:lastPrinted>
  <dcterms:modified xsi:type="dcterms:W3CDTF">2002-01-22T13:04:00Z</dcterms:modified>
  <cp:revision>5</cp:revision>
  <dc:subject/>
  <dc:title>Capst9ne</dc:title>
</cp:coreProperties>
</file>