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Monday October 22, 2001</w:t>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39.75pt" filled="f" o:ole="">
            <v:imagedata r:id="rId3" o:title=""/>
          </v:shape>
          <o:OLEObject Type="Embed" ProgID="Excel.Sheet.12" ShapeID="ole_rId2" DrawAspect="Content" ObjectID="_812559429" r:id="rId2"/>
        </w:object>
      </w:r>
    </w:p>
    <w:p>
      <w:pPr>
        <w:pStyle w:val="Normal"/>
        <w:jc w:val="both"/>
        <w:rPr>
          <w:color w:val="0000FF"/>
        </w:rPr>
      </w:pPr>
      <w:r>
        <w:rPr>
          <w:color w:val="0000FF"/>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rPr/>
      </w:pPr>
      <w:r>
        <w:rPr/>
        <w:t>CFTC Commitment of Traders as of Oct 16</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10,409</w:t>
        <w:tab/>
        <w:tab/>
        <w:t>+4,830</w:t>
        <w:tab/>
        <w:tab/>
        <w:t>26,769</w:t>
        <w:tab/>
        <w:tab/>
        <w:t>-4,193</w:t>
        <w:tab/>
        <w:tab/>
        <w:t>-16,360</w:t>
        <w:tab/>
        <w:t>+9,023</w:t>
      </w:r>
    </w:p>
    <w:p>
      <w:pPr>
        <w:pStyle w:val="Normal"/>
        <w:ind w:hanging="1440" w:start="1440" w:end="0"/>
        <w:jc w:val="both"/>
        <w:rPr/>
      </w:pPr>
      <w:r>
        <w:rPr/>
      </w:r>
    </w:p>
    <w:p>
      <w:pPr>
        <w:pStyle w:val="Normal"/>
        <w:ind w:hanging="1440" w:start="1440" w:end="0"/>
        <w:jc w:val="both"/>
        <w:rPr/>
      </w:pPr>
      <w:r>
        <w:rPr/>
        <w:t>Non-Reportable</w:t>
        <w:tab/>
        <w:t>34,763</w:t>
        <w:tab/>
        <w:tab/>
        <w:t>-411</w:t>
        <w:tab/>
        <w:tab/>
        <w:t>16,754</w:t>
        <w:tab/>
        <w:tab/>
        <w:t>+211</w:t>
        <w:tab/>
        <w:tab/>
        <w:t>+18,009</w:t>
        <w:tab/>
        <w:t>-200</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t xml:space="preserve"> </w:t>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720" w:start="720" w:end="0"/>
      <w:jc w:val="both"/>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2001-10-22T11:14:00Z</dcterms:created>
  <dc:creator>Bob McKinney</dc:creator>
  <dc:description/>
  <dc:language>en-CA</dc:language>
  <cp:lastModifiedBy>Mark McKinney</cp:lastModifiedBy>
  <cp:lastPrinted>2001-03-06T11:14:00Z</cp:lastPrinted>
  <dcterms:modified xsi:type="dcterms:W3CDTF">2001-10-22T11:17:00Z</dcterms:modified>
  <cp:revision>4</cp:revision>
  <dc:subject/>
  <dc:title>Capst9ne</dc:title>
</cp:coreProperties>
</file>